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88" w:rsidRDefault="00F56B88" w:rsidP="00F56B88">
      <w:pPr>
        <w:pStyle w:val="Web"/>
        <w:spacing w:before="0" w:beforeAutospacing="0" w:after="0"/>
        <w:jc w:val="center"/>
        <w:rPr>
          <w:sz w:val="40"/>
          <w:szCs w:val="40"/>
        </w:rPr>
      </w:pPr>
      <w:r>
        <w:rPr>
          <w:sz w:val="40"/>
          <w:szCs w:val="40"/>
        </w:rPr>
        <w:t>下水汚泥および家畜排泄物処理の循環型システムについての研究</w:t>
      </w:r>
    </w:p>
    <w:p w:rsidR="00F56B88" w:rsidRDefault="00F56B88" w:rsidP="00F56B88">
      <w:pPr>
        <w:pStyle w:val="Web"/>
        <w:spacing w:before="0" w:beforeAutospacing="0" w:after="0"/>
        <w:jc w:val="center"/>
      </w:pPr>
    </w:p>
    <w:p w:rsidR="00F56B88" w:rsidRDefault="00F56B88" w:rsidP="00F56B88">
      <w:pPr>
        <w:pStyle w:val="Web"/>
        <w:spacing w:before="0" w:beforeAutospacing="0" w:after="0"/>
        <w:jc w:val="center"/>
        <w:rPr>
          <w:lang w:eastAsia="zh-TW"/>
        </w:rPr>
      </w:pPr>
      <w:r>
        <w:rPr>
          <w:rFonts w:hint="eastAsia"/>
          <w:sz w:val="22"/>
          <w:szCs w:val="22"/>
          <w:lang w:eastAsia="zh-TW"/>
        </w:rPr>
        <w:t xml:space="preserve">筑波大学生命環境科学研究科　</w:t>
      </w:r>
      <w:r w:rsidRPr="00F56B88">
        <w:rPr>
          <w:rFonts w:hint="eastAsia"/>
          <w:sz w:val="28"/>
          <w:szCs w:val="28"/>
          <w:lang w:eastAsia="zh-TW"/>
        </w:rPr>
        <w:t>中澤洋輔</w:t>
      </w:r>
      <w:r w:rsidR="00874C6B">
        <w:rPr>
          <w:rFonts w:hint="eastAsia"/>
          <w:sz w:val="28"/>
          <w:szCs w:val="28"/>
        </w:rPr>
        <w:t>＊</w:t>
      </w:r>
    </w:p>
    <w:p w:rsidR="00F56B88" w:rsidRDefault="00F56B88" w:rsidP="00F56B88">
      <w:pPr>
        <w:pStyle w:val="Web"/>
        <w:spacing w:before="0" w:beforeAutospacing="0" w:after="0"/>
        <w:jc w:val="center"/>
        <w:rPr>
          <w:sz w:val="28"/>
          <w:szCs w:val="28"/>
          <w:lang w:eastAsia="zh-TW"/>
        </w:rPr>
      </w:pPr>
      <w:r>
        <w:rPr>
          <w:rFonts w:hint="eastAsia"/>
          <w:sz w:val="22"/>
          <w:szCs w:val="22"/>
          <w:lang w:eastAsia="zh-TW"/>
        </w:rPr>
        <w:t xml:space="preserve">筑波大学生命環境科学研究科　</w:t>
      </w:r>
      <w:r w:rsidRPr="00F56B88">
        <w:rPr>
          <w:rFonts w:hint="eastAsia"/>
          <w:sz w:val="28"/>
          <w:szCs w:val="28"/>
          <w:lang w:eastAsia="zh-TW"/>
        </w:rPr>
        <w:t>氷鉋揚四郎</w:t>
      </w:r>
    </w:p>
    <w:p w:rsidR="00F56B88" w:rsidRDefault="00F56B88" w:rsidP="00F56B88">
      <w:pPr>
        <w:pStyle w:val="Web"/>
        <w:spacing w:before="0" w:beforeAutospacing="0" w:after="0"/>
      </w:pPr>
    </w:p>
    <w:p w:rsidR="006C41A1" w:rsidRDefault="006C41A1" w:rsidP="00F56B88">
      <w:pPr>
        <w:pStyle w:val="Web"/>
        <w:spacing w:before="0" w:beforeAutospacing="0" w:after="0"/>
        <w:rPr>
          <w:rFonts w:asciiTheme="majorEastAsia" w:eastAsiaTheme="majorEastAsia" w:hAnsiTheme="majorEastAsia" w:cs="Times New Roman"/>
          <w:sz w:val="21"/>
          <w:szCs w:val="21"/>
        </w:rPr>
        <w:sectPr w:rsidR="006C41A1" w:rsidSect="00874C6B">
          <w:pgSz w:w="11906" w:h="16838"/>
          <w:pgMar w:top="1418" w:right="1134" w:bottom="1701" w:left="1701" w:header="851" w:footer="992" w:gutter="0"/>
          <w:cols w:space="425"/>
          <w:docGrid w:type="linesAndChars" w:linePitch="360"/>
        </w:sectPr>
      </w:pPr>
    </w:p>
    <w:p w:rsidR="006C41A1" w:rsidRDefault="00F56B88" w:rsidP="006C41A1">
      <w:pPr>
        <w:pStyle w:val="Web"/>
        <w:numPr>
          <w:ilvl w:val="0"/>
          <w:numId w:val="2"/>
        </w:numPr>
        <w:spacing w:before="0" w:beforeAutospacing="0" w:after="0"/>
        <w:rPr>
          <w:rFonts w:asciiTheme="majorEastAsia" w:eastAsiaTheme="majorEastAsia" w:hAnsiTheme="majorEastAsia"/>
          <w:sz w:val="21"/>
          <w:szCs w:val="21"/>
        </w:rPr>
      </w:pPr>
      <w:r w:rsidRPr="00F56B88">
        <w:rPr>
          <w:rFonts w:asciiTheme="majorEastAsia" w:eastAsiaTheme="majorEastAsia" w:hAnsiTheme="majorEastAsia"/>
          <w:sz w:val="21"/>
          <w:szCs w:val="21"/>
        </w:rPr>
        <w:lastRenderedPageBreak/>
        <w:t>はじめに</w:t>
      </w:r>
    </w:p>
    <w:p w:rsidR="00F56B88" w:rsidRP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日本では温室効果ガスの排出量増加や閉鎖性水域、地下水の窒素汚染といった環境問題が存在している。その原因として大量生産、大量消費、大量廃棄を行う社会システムが自然の浄化能力を越えてしまっていることが挙げられ、循環型の社会に移行していくことが求められている。</w:t>
      </w:r>
    </w:p>
    <w:p w:rsidR="00F56B88" w:rsidRP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循環型社会の成立にはバイオマスの利用が重要な役割を担う。バイオマスとは、再生産可能な生物由来の有機物資源である</w:t>
      </w:r>
      <w:r w:rsidRPr="00F56B88">
        <w:rPr>
          <w:rFonts w:asciiTheme="minorEastAsia" w:eastAsiaTheme="minorEastAsia" w:hAnsiTheme="minorEastAsia" w:cs="Times New Roman"/>
          <w:sz w:val="20"/>
          <w:szCs w:val="20"/>
          <w:vertAlign w:val="superscript"/>
        </w:rPr>
        <w:t>1)</w:t>
      </w:r>
      <w:r w:rsidRPr="00F56B88">
        <w:rPr>
          <w:rFonts w:asciiTheme="minorEastAsia" w:eastAsiaTheme="minorEastAsia" w:hAnsiTheme="minorEastAsia"/>
          <w:sz w:val="20"/>
          <w:szCs w:val="20"/>
        </w:rPr>
        <w:t>。これは成長段階で大気中の二酸化炭素を吸収しているため、原理的には燃焼などのエネルギー利用を行っても大気中の二酸化炭素を増やさない。また材料資源としても利用でき、これらの性質が循環型社会の成立に寄与する。</w:t>
      </w:r>
    </w:p>
    <w:p w:rsidR="00F56B88" w:rsidRP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現在多くの自治体が、その地域で発生するバイオマス資源を有効活用する政策を実施、計画している</w:t>
      </w:r>
      <w:r w:rsidRPr="00F56B88">
        <w:rPr>
          <w:rFonts w:asciiTheme="minorEastAsia" w:eastAsiaTheme="minorEastAsia" w:hAnsiTheme="minorEastAsia" w:cs="Times New Roman"/>
          <w:sz w:val="20"/>
          <w:szCs w:val="20"/>
          <w:vertAlign w:val="superscript"/>
        </w:rPr>
        <w:t>2)</w:t>
      </w:r>
      <w:r w:rsidRPr="00F56B88">
        <w:rPr>
          <w:rFonts w:asciiTheme="minorEastAsia" w:eastAsiaTheme="minorEastAsia" w:hAnsiTheme="minorEastAsia"/>
          <w:sz w:val="20"/>
          <w:szCs w:val="20"/>
        </w:rPr>
        <w:t>。そこで本研究では計画されているようなバイオマスの利用が、どの程度環境に対して影響するのかを定量的に評価する。</w:t>
      </w:r>
    </w:p>
    <w:p w:rsidR="00F56B88" w:rsidRPr="00F56B88" w:rsidRDefault="00F56B88" w:rsidP="00F56B88">
      <w:pPr>
        <w:pStyle w:val="Web"/>
        <w:spacing w:before="0" w:beforeAutospacing="0" w:after="0"/>
        <w:rPr>
          <w:rFonts w:asciiTheme="minorEastAsia" w:eastAsiaTheme="minorEastAsia" w:hAnsiTheme="minorEastAsia"/>
          <w:sz w:val="20"/>
          <w:szCs w:val="20"/>
        </w:rPr>
      </w:pPr>
    </w:p>
    <w:p w:rsidR="00F56B88" w:rsidRDefault="00F56B88" w:rsidP="006C41A1">
      <w:pPr>
        <w:pStyle w:val="Web"/>
        <w:numPr>
          <w:ilvl w:val="0"/>
          <w:numId w:val="2"/>
        </w:numPr>
        <w:spacing w:before="0" w:beforeAutospacing="0" w:after="0"/>
        <w:rPr>
          <w:rFonts w:asciiTheme="majorEastAsia" w:eastAsiaTheme="majorEastAsia" w:hAnsiTheme="majorEastAsia"/>
          <w:sz w:val="21"/>
          <w:szCs w:val="21"/>
        </w:rPr>
      </w:pPr>
      <w:r w:rsidRPr="00F56B88">
        <w:rPr>
          <w:rFonts w:asciiTheme="majorEastAsia" w:eastAsiaTheme="majorEastAsia" w:hAnsiTheme="majorEastAsia"/>
          <w:sz w:val="21"/>
          <w:szCs w:val="21"/>
        </w:rPr>
        <w:t>分析の対象</w:t>
      </w:r>
    </w:p>
    <w:p w:rsidR="006C41A1" w:rsidRPr="00F56B88" w:rsidRDefault="006C41A1" w:rsidP="006C41A1">
      <w:pPr>
        <w:pStyle w:val="Web"/>
        <w:spacing w:before="0" w:beforeAutospacing="0" w:after="0"/>
        <w:ind w:left="360"/>
        <w:rPr>
          <w:rFonts w:asciiTheme="majorEastAsia" w:eastAsiaTheme="majorEastAsia" w:hAnsiTheme="majorEastAsia"/>
          <w:sz w:val="21"/>
          <w:szCs w:val="21"/>
        </w:rPr>
      </w:pPr>
    </w:p>
    <w:p w:rsidR="00F56B88" w:rsidRP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バイオマス資源は広く、薄く分布しているのに加え、その特性は自然や社会条件によって異なる。</w:t>
      </w:r>
    </w:p>
    <w:p w:rsidR="00F56B88" w:rsidRP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lastRenderedPageBreak/>
        <w:t>なので特定の地域を対象とする。対象地域は千葉県の印旛沼流域を設定した。流域は県の面積の</w:t>
      </w:r>
      <w:r w:rsidRPr="00F56B88">
        <w:rPr>
          <w:rFonts w:asciiTheme="minorEastAsia" w:eastAsiaTheme="minorEastAsia" w:hAnsiTheme="minorEastAsia" w:cs="Times New Roman"/>
          <w:sz w:val="20"/>
          <w:szCs w:val="20"/>
        </w:rPr>
        <w:t>1</w:t>
      </w:r>
      <w:r w:rsidRPr="00F56B88">
        <w:rPr>
          <w:rFonts w:asciiTheme="minorEastAsia" w:eastAsiaTheme="minorEastAsia" w:hAnsiTheme="minorEastAsia"/>
          <w:sz w:val="20"/>
          <w:szCs w:val="20"/>
        </w:rPr>
        <w:t>割ほどを占めており、畑地も</w:t>
      </w:r>
      <w:r w:rsidRPr="00F56B88">
        <w:rPr>
          <w:rFonts w:asciiTheme="minorEastAsia" w:eastAsiaTheme="minorEastAsia" w:hAnsiTheme="minorEastAsia" w:cs="Times New Roman"/>
          <w:sz w:val="20"/>
          <w:szCs w:val="20"/>
        </w:rPr>
        <w:t>1</w:t>
      </w:r>
      <w:r w:rsidRPr="00F56B88">
        <w:rPr>
          <w:rFonts w:asciiTheme="minorEastAsia" w:eastAsiaTheme="minorEastAsia" w:hAnsiTheme="minorEastAsia"/>
          <w:sz w:val="20"/>
          <w:szCs w:val="20"/>
        </w:rPr>
        <w:t>割ほど占めている。西部は市街地が多く、下水道接続率も</w:t>
      </w:r>
      <w:r w:rsidRPr="00F56B88">
        <w:rPr>
          <w:rFonts w:asciiTheme="minorEastAsia" w:eastAsiaTheme="minorEastAsia" w:hAnsiTheme="minorEastAsia" w:cs="Times New Roman"/>
          <w:sz w:val="20"/>
          <w:szCs w:val="20"/>
        </w:rPr>
        <w:t>8</w:t>
      </w:r>
      <w:r w:rsidRPr="00F56B88">
        <w:rPr>
          <w:rFonts w:asciiTheme="minorEastAsia" w:eastAsiaTheme="minorEastAsia" w:hAnsiTheme="minorEastAsia"/>
          <w:sz w:val="20"/>
          <w:szCs w:val="20"/>
        </w:rPr>
        <w:t>県平均よりも</w:t>
      </w:r>
      <w:r w:rsidRPr="00F56B88">
        <w:rPr>
          <w:rFonts w:asciiTheme="minorEastAsia" w:eastAsiaTheme="minorEastAsia" w:hAnsiTheme="minorEastAsia" w:cs="Times New Roman"/>
          <w:sz w:val="20"/>
          <w:szCs w:val="20"/>
        </w:rPr>
        <w:t>1</w:t>
      </w:r>
      <w:r w:rsidRPr="00F56B88">
        <w:rPr>
          <w:rFonts w:asciiTheme="minorEastAsia" w:eastAsiaTheme="minorEastAsia" w:hAnsiTheme="minorEastAsia"/>
          <w:sz w:val="20"/>
          <w:szCs w:val="20"/>
        </w:rPr>
        <w:t>割以上高い。農業や下水処理から発生するバイオマスが期待できる。この印旛沼は水質汚染が知られている。年々回復しているが未だに</w:t>
      </w:r>
      <w:r w:rsidRPr="00F56B88">
        <w:rPr>
          <w:rFonts w:asciiTheme="minorEastAsia" w:eastAsiaTheme="minorEastAsia" w:hAnsiTheme="minorEastAsia" w:cs="Times New Roman"/>
          <w:sz w:val="20"/>
          <w:szCs w:val="20"/>
        </w:rPr>
        <w:t>COD</w:t>
      </w:r>
      <w:r w:rsidRPr="00F56B88">
        <w:rPr>
          <w:rFonts w:asciiTheme="minorEastAsia" w:eastAsiaTheme="minorEastAsia" w:hAnsiTheme="minorEastAsia"/>
          <w:sz w:val="20"/>
          <w:szCs w:val="20"/>
        </w:rPr>
        <w:t>（化学的酸素要求量）、全窒素、全リンの項目で環境基準を満たしていない。そこでバイオマスの利用や処理が水質の悪化に寄与しないよう考慮する必要があると考えられる。</w:t>
      </w:r>
    </w:p>
    <w:p w:rsidR="00F56B88" w:rsidRP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千葉県ではバイオマスの利用についての指針・目標を示している。そこでは県内で利用可能なバイオマスの賦存量や現在の利用率の推計、将来の利用方法が示されている。一方でそのバイオマスの利用による環境への影響が示されていない。そこでバイオマスのエネルギー利用による温室効果ガス削減効果や資源の循環利用をみる必要がある。</w:t>
      </w:r>
    </w:p>
    <w:p w:rsidR="006C41A1"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県の指針で対象となっているバイオマスとその利用方法を表</w:t>
      </w:r>
      <w:r w:rsidRPr="00F56B88">
        <w:rPr>
          <w:rFonts w:asciiTheme="minorEastAsia" w:eastAsiaTheme="minorEastAsia" w:hAnsiTheme="minorEastAsia" w:cs="Times New Roman"/>
          <w:sz w:val="20"/>
          <w:szCs w:val="20"/>
        </w:rPr>
        <w:t>1</w:t>
      </w:r>
      <w:r w:rsidRPr="00F56B88">
        <w:rPr>
          <w:rFonts w:asciiTheme="minorEastAsia" w:eastAsiaTheme="minorEastAsia" w:hAnsiTheme="minorEastAsia"/>
          <w:sz w:val="20"/>
          <w:szCs w:val="20"/>
        </w:rPr>
        <w:t>に抜粋する。</w:t>
      </w:r>
    </w:p>
    <w:p w:rsidR="00874C6B" w:rsidRDefault="00F56B88" w:rsidP="008451F2">
      <w:pPr>
        <w:pStyle w:val="Web"/>
        <w:spacing w:before="0" w:beforeAutospacing="0" w:after="0"/>
        <w:ind w:firstLineChars="100" w:firstLine="200"/>
        <w:rPr>
          <w:rFonts w:asciiTheme="minorEastAsia" w:eastAsiaTheme="minorEastAsia" w:hAnsiTheme="minorEastAsia"/>
          <w:sz w:val="20"/>
          <w:szCs w:val="20"/>
        </w:rPr>
      </w:pPr>
      <w:r w:rsidRPr="00F56B88">
        <w:rPr>
          <w:rFonts w:asciiTheme="minorEastAsia" w:eastAsiaTheme="minorEastAsia" w:hAnsiTheme="minorEastAsia"/>
          <w:sz w:val="20"/>
          <w:szCs w:val="20"/>
        </w:rPr>
        <w:t>この中でもメタン発酵と堆肥化は実績のある技術である。堆肥化は家畜排泄物や下水汚泥などの有機性廃棄物を発酵させ、堆肥を農耕地に再び投入するというもの。そこに含まれる栄養</w:t>
      </w:r>
    </w:p>
    <w:tbl>
      <w:tblPr>
        <w:tblpPr w:leftFromText="142" w:rightFromText="142" w:vertAnchor="text" w:horzAnchor="margin" w:tblpY="489"/>
        <w:tblW w:w="4326" w:type="dxa"/>
        <w:tblCellMar>
          <w:left w:w="99" w:type="dxa"/>
          <w:right w:w="99" w:type="dxa"/>
        </w:tblCellMar>
        <w:tblLook w:val="04A0"/>
      </w:tblPr>
      <w:tblGrid>
        <w:gridCol w:w="1417"/>
        <w:gridCol w:w="2909"/>
      </w:tblGrid>
      <w:tr w:rsidR="00874C6B" w:rsidRPr="008451F2" w:rsidTr="00874C6B">
        <w:trPr>
          <w:trHeight w:val="323"/>
        </w:trPr>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74C6B" w:rsidRPr="008451F2" w:rsidRDefault="00874C6B" w:rsidP="00874C6B">
            <w:pPr>
              <w:widowControl/>
              <w:jc w:val="center"/>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lastRenderedPageBreak/>
              <w:t>資源</w:t>
            </w:r>
          </w:p>
        </w:tc>
        <w:tc>
          <w:tcPr>
            <w:tcW w:w="2909" w:type="dxa"/>
            <w:tcBorders>
              <w:top w:val="single" w:sz="8" w:space="0" w:color="000000"/>
              <w:left w:val="nil"/>
              <w:bottom w:val="single" w:sz="8" w:space="0" w:color="000000"/>
              <w:right w:val="single" w:sz="8" w:space="0" w:color="000000"/>
            </w:tcBorders>
            <w:shd w:val="clear" w:color="auto" w:fill="auto"/>
            <w:noWrap/>
            <w:vAlign w:val="center"/>
            <w:hideMark/>
          </w:tcPr>
          <w:p w:rsidR="00874C6B" w:rsidRPr="008451F2" w:rsidRDefault="00874C6B" w:rsidP="00874C6B">
            <w:pPr>
              <w:widowControl/>
              <w:jc w:val="center"/>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種類</w:t>
            </w:r>
          </w:p>
        </w:tc>
      </w:tr>
      <w:tr w:rsidR="00874C6B" w:rsidRPr="008451F2" w:rsidTr="00874C6B">
        <w:trPr>
          <w:trHeight w:val="323"/>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家畜排泄物</w:t>
            </w:r>
          </w:p>
        </w:tc>
        <w:tc>
          <w:tcPr>
            <w:tcW w:w="2909" w:type="dxa"/>
            <w:tcBorders>
              <w:top w:val="nil"/>
              <w:left w:val="nil"/>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堆肥化、メタン発酵</w:t>
            </w:r>
          </w:p>
        </w:tc>
      </w:tr>
      <w:tr w:rsidR="00874C6B" w:rsidRPr="008451F2" w:rsidTr="00874C6B">
        <w:trPr>
          <w:trHeight w:val="323"/>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生ゴミ</w:t>
            </w:r>
          </w:p>
        </w:tc>
        <w:tc>
          <w:tcPr>
            <w:tcW w:w="2909" w:type="dxa"/>
            <w:tcBorders>
              <w:top w:val="nil"/>
              <w:left w:val="nil"/>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堆肥化</w:t>
            </w:r>
          </w:p>
        </w:tc>
      </w:tr>
      <w:tr w:rsidR="00874C6B" w:rsidRPr="008451F2" w:rsidTr="00874C6B">
        <w:trPr>
          <w:trHeight w:val="323"/>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食品加工残渣</w:t>
            </w:r>
          </w:p>
        </w:tc>
        <w:tc>
          <w:tcPr>
            <w:tcW w:w="2909" w:type="dxa"/>
            <w:tcBorders>
              <w:top w:val="nil"/>
              <w:left w:val="nil"/>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堆肥化、メタン発酵、家畜飼料</w:t>
            </w:r>
          </w:p>
        </w:tc>
      </w:tr>
      <w:tr w:rsidR="00874C6B" w:rsidRPr="008451F2" w:rsidTr="00874C6B">
        <w:trPr>
          <w:trHeight w:val="323"/>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下水汚泥</w:t>
            </w:r>
          </w:p>
        </w:tc>
        <w:tc>
          <w:tcPr>
            <w:tcW w:w="2909" w:type="dxa"/>
            <w:tcBorders>
              <w:top w:val="nil"/>
              <w:left w:val="nil"/>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堆肥化、メタン発酵</w:t>
            </w:r>
          </w:p>
        </w:tc>
      </w:tr>
      <w:tr w:rsidR="00874C6B" w:rsidRPr="008451F2" w:rsidTr="00874C6B">
        <w:trPr>
          <w:trHeight w:val="323"/>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野菜未利用部分</w:t>
            </w:r>
          </w:p>
        </w:tc>
        <w:tc>
          <w:tcPr>
            <w:tcW w:w="2909" w:type="dxa"/>
            <w:tcBorders>
              <w:top w:val="nil"/>
              <w:left w:val="nil"/>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堆肥化、メタン発酵</w:t>
            </w:r>
          </w:p>
        </w:tc>
      </w:tr>
      <w:tr w:rsidR="00874C6B" w:rsidRPr="008451F2" w:rsidTr="00874C6B">
        <w:trPr>
          <w:trHeight w:val="323"/>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製材残材</w:t>
            </w:r>
          </w:p>
        </w:tc>
        <w:tc>
          <w:tcPr>
            <w:tcW w:w="2909" w:type="dxa"/>
            <w:tcBorders>
              <w:top w:val="nil"/>
              <w:left w:val="nil"/>
              <w:bottom w:val="single" w:sz="8" w:space="0" w:color="000000"/>
              <w:right w:val="single" w:sz="8" w:space="0" w:color="000000"/>
            </w:tcBorders>
            <w:shd w:val="clear" w:color="auto" w:fill="auto"/>
            <w:noWrap/>
            <w:vAlign w:val="center"/>
            <w:hideMark/>
          </w:tcPr>
          <w:p w:rsidR="00874C6B" w:rsidRPr="008451F2" w:rsidRDefault="00874C6B" w:rsidP="00874C6B">
            <w:pPr>
              <w:widowControl/>
              <w:jc w:val="left"/>
              <w:rPr>
                <w:rFonts w:ascii="ＭＳ Ｐゴシック" w:eastAsia="ＭＳ Ｐゴシック" w:hAnsi="ＭＳ Ｐゴシック" w:cs="ＭＳ Ｐゴシック"/>
                <w:color w:val="000000"/>
                <w:kern w:val="0"/>
                <w:sz w:val="20"/>
                <w:szCs w:val="20"/>
              </w:rPr>
            </w:pPr>
            <w:r w:rsidRPr="008451F2">
              <w:rPr>
                <w:rFonts w:ascii="ＭＳ Ｐゴシック" w:eastAsia="ＭＳ Ｐゴシック" w:hAnsi="ＭＳ Ｐゴシック" w:cs="ＭＳ Ｐゴシック" w:hint="eastAsia"/>
                <w:color w:val="000000"/>
                <w:kern w:val="0"/>
                <w:sz w:val="20"/>
                <w:szCs w:val="20"/>
              </w:rPr>
              <w:t>堆肥化、ガス化</w:t>
            </w:r>
          </w:p>
        </w:tc>
      </w:tr>
    </w:tbl>
    <w:p w:rsidR="00874C6B" w:rsidRPr="008451F2" w:rsidRDefault="00874C6B" w:rsidP="00874C6B">
      <w:pPr>
        <w:pStyle w:val="Web"/>
        <w:spacing w:before="0" w:beforeAutospacing="0" w:after="0"/>
        <w:rPr>
          <w:rFonts w:asciiTheme="majorEastAsia" w:eastAsiaTheme="majorEastAsia" w:hAnsiTheme="majorEastAsia"/>
          <w:sz w:val="20"/>
          <w:szCs w:val="20"/>
        </w:rPr>
      </w:pPr>
      <w:r w:rsidRPr="008451F2">
        <w:rPr>
          <w:rFonts w:asciiTheme="majorEastAsia" w:eastAsiaTheme="majorEastAsia" w:hAnsiTheme="majorEastAsia" w:hint="eastAsia"/>
          <w:sz w:val="20"/>
          <w:szCs w:val="20"/>
        </w:rPr>
        <w:lastRenderedPageBreak/>
        <w:t>表１　対象バイオマスと処理方法</w:t>
      </w:r>
    </w:p>
    <w:p w:rsidR="00874C6B" w:rsidRPr="00874C6B" w:rsidRDefault="00874C6B" w:rsidP="008451F2">
      <w:pPr>
        <w:pStyle w:val="Web"/>
        <w:spacing w:before="0" w:beforeAutospacing="0" w:after="0"/>
        <w:ind w:firstLineChars="100" w:firstLine="200"/>
        <w:rPr>
          <w:rFonts w:asciiTheme="minorEastAsia" w:eastAsiaTheme="minorEastAsia" w:hAnsiTheme="minorEastAsia"/>
          <w:sz w:val="20"/>
          <w:szCs w:val="20"/>
        </w:rPr>
      </w:pPr>
    </w:p>
    <w:p w:rsidR="00843AF0" w:rsidRDefault="00F56B88" w:rsidP="00874C6B">
      <w:pPr>
        <w:pStyle w:val="Web"/>
        <w:spacing w:before="0" w:beforeAutospacing="0" w:after="0"/>
        <w:ind w:firstLineChars="100" w:firstLine="200"/>
        <w:rPr>
          <w:rFonts w:asciiTheme="minorEastAsia" w:eastAsiaTheme="minorEastAsia" w:hAnsiTheme="minorEastAsia"/>
          <w:sz w:val="20"/>
          <w:szCs w:val="20"/>
        </w:rPr>
      </w:pPr>
      <w:r w:rsidRPr="00F56B88">
        <w:rPr>
          <w:rFonts w:asciiTheme="minorEastAsia" w:eastAsiaTheme="minorEastAsia" w:hAnsiTheme="minorEastAsia"/>
          <w:sz w:val="20"/>
          <w:szCs w:val="20"/>
        </w:rPr>
        <w:t>塩が循環利用されることが期待できる。メタン発酵は有機性廃棄物を発酵させメタンを得て、そこから電気や熱を得る技術であり、化石燃料使用料の削減が期待できる。発酵残渣は堆肥化されたり、浄化処理される。しかし、この堆肥は発生量が需要量を上回り、消費されないことがしばしば起こりうることが知られている</w:t>
      </w:r>
      <w:r w:rsidRPr="00F56B88">
        <w:rPr>
          <w:rFonts w:asciiTheme="minorEastAsia" w:eastAsiaTheme="minorEastAsia" w:hAnsiTheme="minorEastAsia" w:cs="Times New Roman"/>
          <w:sz w:val="20"/>
          <w:szCs w:val="20"/>
          <w:vertAlign w:val="superscript"/>
        </w:rPr>
        <w:t>4)</w:t>
      </w:r>
      <w:r w:rsidRPr="00F56B88">
        <w:rPr>
          <w:rFonts w:asciiTheme="minorEastAsia" w:eastAsiaTheme="minorEastAsia" w:hAnsiTheme="minorEastAsia"/>
          <w:sz w:val="20"/>
          <w:szCs w:val="20"/>
        </w:rPr>
        <w:t>。</w:t>
      </w:r>
    </w:p>
    <w:p w:rsidR="008451F2" w:rsidRDefault="00F56B88" w:rsidP="00843AF0">
      <w:pPr>
        <w:pStyle w:val="Web"/>
        <w:spacing w:before="0" w:beforeAutospacing="0" w:after="0"/>
        <w:ind w:firstLineChars="100" w:firstLine="200"/>
        <w:rPr>
          <w:rFonts w:asciiTheme="minorEastAsia" w:eastAsiaTheme="minorEastAsia" w:hAnsiTheme="minorEastAsia"/>
          <w:sz w:val="20"/>
          <w:szCs w:val="20"/>
        </w:rPr>
      </w:pPr>
      <w:r w:rsidRPr="00F56B88">
        <w:rPr>
          <w:rFonts w:asciiTheme="minorEastAsia" w:eastAsiaTheme="minorEastAsia" w:hAnsiTheme="minorEastAsia"/>
          <w:sz w:val="20"/>
          <w:szCs w:val="20"/>
        </w:rPr>
        <w:t>余剰の堆肥は農耕地に過剰に施肥され水系汚染の悪化に寄与したり、浄化処理で化石燃料を消費することになってしまう。バイオマスの利用、処理</w:t>
      </w:r>
      <w:r w:rsidR="008451F2">
        <w:rPr>
          <w:rFonts w:asciiTheme="minorEastAsia" w:eastAsiaTheme="minorEastAsia" w:hAnsiTheme="minorEastAsia"/>
          <w:sz w:val="20"/>
          <w:szCs w:val="20"/>
        </w:rPr>
        <w:t>方法で発生する残渣の量は異なる。処理方法別の窒素の排出率を</w:t>
      </w:r>
      <w:r w:rsidR="008451F2">
        <w:rPr>
          <w:rFonts w:asciiTheme="minorEastAsia" w:eastAsiaTheme="minorEastAsia" w:hAnsiTheme="minorEastAsia" w:hint="eastAsia"/>
          <w:sz w:val="20"/>
          <w:szCs w:val="20"/>
        </w:rPr>
        <w:t>図</w:t>
      </w:r>
      <w:r w:rsidRPr="00F56B88">
        <w:rPr>
          <w:rFonts w:asciiTheme="minorEastAsia" w:eastAsiaTheme="minorEastAsia" w:hAnsiTheme="minorEastAsia" w:cs="Times New Roman"/>
          <w:sz w:val="20"/>
          <w:szCs w:val="20"/>
        </w:rPr>
        <w:t>1</w:t>
      </w:r>
      <w:r w:rsidRPr="00F56B88">
        <w:rPr>
          <w:rFonts w:asciiTheme="minorEastAsia" w:eastAsiaTheme="minorEastAsia" w:hAnsiTheme="minorEastAsia" w:cs="Times New Roman"/>
          <w:sz w:val="20"/>
          <w:szCs w:val="20"/>
          <w:vertAlign w:val="superscript"/>
        </w:rPr>
        <w:t>5)</w:t>
      </w:r>
      <w:r w:rsidRPr="00F56B88">
        <w:rPr>
          <w:rFonts w:asciiTheme="minorEastAsia" w:eastAsiaTheme="minorEastAsia" w:hAnsiTheme="minorEastAsia"/>
          <w:sz w:val="20"/>
          <w:szCs w:val="20"/>
          <w:vertAlign w:val="superscript"/>
        </w:rPr>
        <w:t>、</w:t>
      </w:r>
      <w:r w:rsidRPr="00F56B88">
        <w:rPr>
          <w:rFonts w:asciiTheme="minorEastAsia" w:eastAsiaTheme="minorEastAsia" w:hAnsiTheme="minorEastAsia" w:cs="Times New Roman"/>
          <w:sz w:val="20"/>
          <w:szCs w:val="20"/>
          <w:vertAlign w:val="superscript"/>
        </w:rPr>
        <w:t>6)</w:t>
      </w:r>
      <w:r w:rsidRPr="00F56B88">
        <w:rPr>
          <w:rFonts w:asciiTheme="minorEastAsia" w:eastAsiaTheme="minorEastAsia" w:hAnsiTheme="minorEastAsia"/>
          <w:sz w:val="20"/>
          <w:szCs w:val="20"/>
          <w:vertAlign w:val="superscript"/>
        </w:rPr>
        <w:t>、</w:t>
      </w:r>
      <w:r w:rsidRPr="00F56B88">
        <w:rPr>
          <w:rFonts w:asciiTheme="minorEastAsia" w:eastAsiaTheme="minorEastAsia" w:hAnsiTheme="minorEastAsia" w:cs="Times New Roman"/>
          <w:sz w:val="20"/>
          <w:szCs w:val="20"/>
          <w:vertAlign w:val="superscript"/>
        </w:rPr>
        <w:t>7)</w:t>
      </w:r>
      <w:r w:rsidRPr="00F56B88">
        <w:rPr>
          <w:rFonts w:asciiTheme="minorEastAsia" w:eastAsiaTheme="minorEastAsia" w:hAnsiTheme="minorEastAsia"/>
          <w:sz w:val="20"/>
          <w:szCs w:val="20"/>
        </w:rPr>
        <w:t>に示す。</w:t>
      </w:r>
    </w:p>
    <w:p w:rsidR="00F56B88" w:rsidRPr="00F56B88" w:rsidRDefault="00F56B88" w:rsidP="008451F2">
      <w:pPr>
        <w:pStyle w:val="Web"/>
        <w:spacing w:before="0" w:beforeAutospacing="0" w:after="0"/>
        <w:ind w:firstLineChars="100" w:firstLine="200"/>
        <w:rPr>
          <w:rFonts w:asciiTheme="minorEastAsia" w:eastAsiaTheme="minorEastAsia" w:hAnsiTheme="minorEastAsia"/>
          <w:sz w:val="20"/>
          <w:szCs w:val="20"/>
        </w:rPr>
      </w:pPr>
      <w:r w:rsidRPr="00F56B88">
        <w:rPr>
          <w:rFonts w:asciiTheme="minorEastAsia" w:eastAsiaTheme="minorEastAsia" w:hAnsiTheme="minorEastAsia"/>
          <w:sz w:val="20"/>
          <w:szCs w:val="20"/>
        </w:rPr>
        <w:t>このように同じメタン発酵でも方法により排出される量は異なるし、建築資材にする場合なら水系への負担はゼロとなる。そこでバイオマスの利用、処理方法は過剰な堆肥を発生させないよう組み合わせを考える必要がある。</w:t>
      </w:r>
    </w:p>
    <w:p w:rsidR="00F56B88" w:rsidRP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以上のことから、本研究では印旛沼流域で発生するバイオマスの利用により温室効果ガスがどれだけ削減されるか、堆肥需要を圧迫しないという条件の元推計する。</w:t>
      </w:r>
    </w:p>
    <w:p w:rsidR="00F56B88" w:rsidRPr="00F56B88" w:rsidRDefault="00F56B88" w:rsidP="00F56B88">
      <w:pPr>
        <w:pStyle w:val="Web"/>
        <w:spacing w:before="0" w:beforeAutospacing="0" w:after="0"/>
        <w:rPr>
          <w:rFonts w:asciiTheme="minorEastAsia" w:eastAsiaTheme="minorEastAsia" w:hAnsiTheme="minorEastAsia"/>
          <w:sz w:val="20"/>
          <w:szCs w:val="20"/>
        </w:rPr>
      </w:pPr>
    </w:p>
    <w:p w:rsidR="00F56B88" w:rsidRDefault="00F56B88" w:rsidP="006C41A1">
      <w:pPr>
        <w:pStyle w:val="Web"/>
        <w:numPr>
          <w:ilvl w:val="0"/>
          <w:numId w:val="2"/>
        </w:numPr>
        <w:spacing w:before="0" w:beforeAutospacing="0" w:after="0"/>
        <w:rPr>
          <w:rFonts w:asciiTheme="majorEastAsia" w:eastAsiaTheme="majorEastAsia" w:hAnsiTheme="majorEastAsia"/>
          <w:sz w:val="21"/>
          <w:szCs w:val="21"/>
        </w:rPr>
      </w:pPr>
      <w:r w:rsidRPr="00F56B88">
        <w:rPr>
          <w:rFonts w:asciiTheme="majorEastAsia" w:eastAsiaTheme="majorEastAsia" w:hAnsiTheme="majorEastAsia"/>
          <w:sz w:val="21"/>
          <w:szCs w:val="21"/>
        </w:rPr>
        <w:t>方法</w:t>
      </w:r>
    </w:p>
    <w:p w:rsidR="006C41A1" w:rsidRPr="00F56B88" w:rsidRDefault="006C41A1" w:rsidP="006C41A1">
      <w:pPr>
        <w:pStyle w:val="Web"/>
        <w:spacing w:before="0" w:beforeAutospacing="0" w:after="0"/>
        <w:ind w:left="360"/>
        <w:rPr>
          <w:rFonts w:asciiTheme="majorEastAsia" w:eastAsiaTheme="majorEastAsia" w:hAnsiTheme="majorEastAsia"/>
          <w:sz w:val="21"/>
          <w:szCs w:val="21"/>
        </w:rPr>
      </w:pPr>
    </w:p>
    <w:p w:rsidR="00F56B88" w:rsidRDefault="00F56B88" w:rsidP="00F56B88">
      <w:pPr>
        <w:pStyle w:val="Web"/>
        <w:spacing w:before="0" w:beforeAutospacing="0" w:after="0"/>
        <w:rPr>
          <w:rFonts w:asciiTheme="minorEastAsia" w:eastAsiaTheme="minorEastAsia" w:hAnsiTheme="minorEastAsia"/>
          <w:sz w:val="20"/>
          <w:szCs w:val="20"/>
        </w:rPr>
      </w:pPr>
      <w:r w:rsidRPr="00F56B88">
        <w:rPr>
          <w:rFonts w:asciiTheme="minorEastAsia" w:eastAsiaTheme="minorEastAsia" w:hAnsiTheme="minorEastAsia"/>
          <w:sz w:val="20"/>
          <w:szCs w:val="20"/>
        </w:rPr>
        <w:t xml:space="preserve">　文献調査に加えて人口、耕地面積などの社会経済データと発生原単位や堆肥施肥基準などを乗じてバイオマス賦存量と堆肥の受け入れ可能</w:t>
      </w:r>
      <w:r w:rsidRPr="00F56B88">
        <w:rPr>
          <w:rFonts w:asciiTheme="minorEastAsia" w:eastAsiaTheme="minorEastAsia" w:hAnsiTheme="minorEastAsia"/>
          <w:sz w:val="20"/>
          <w:szCs w:val="20"/>
        </w:rPr>
        <w:lastRenderedPageBreak/>
        <w:t>量を推定する。次に社会経済データから現状の環境負荷を推計し、バイオマス賦存量と技術データからバイオマス利用時の環境負荷を推計して比較を行う。</w:t>
      </w:r>
    </w:p>
    <w:p w:rsidR="00736856" w:rsidRDefault="00736856" w:rsidP="00F56B88">
      <w:pPr>
        <w:pStyle w:val="Web"/>
        <w:spacing w:before="0" w:beforeAutospacing="0" w:after="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4C6B">
        <w:rPr>
          <w:rFonts w:asciiTheme="minorEastAsia" w:eastAsiaTheme="minorEastAsia" w:hAnsiTheme="minorEastAsia" w:hint="eastAsia"/>
          <w:sz w:val="20"/>
          <w:szCs w:val="20"/>
        </w:rPr>
        <w:t>まず</w:t>
      </w:r>
      <w:r>
        <w:rPr>
          <w:rFonts w:asciiTheme="minorEastAsia" w:eastAsiaTheme="minorEastAsia" w:hAnsiTheme="minorEastAsia" w:hint="eastAsia"/>
          <w:sz w:val="20"/>
          <w:szCs w:val="20"/>
        </w:rPr>
        <w:t>バイオマスの</w:t>
      </w:r>
      <w:r w:rsidRPr="00F56B88">
        <w:rPr>
          <w:rFonts w:asciiTheme="minorEastAsia" w:eastAsiaTheme="minorEastAsia" w:hAnsiTheme="minorEastAsia"/>
          <w:sz w:val="20"/>
          <w:szCs w:val="20"/>
        </w:rPr>
        <w:t>賦存量</w:t>
      </w:r>
      <w:r>
        <w:rPr>
          <w:rFonts w:asciiTheme="minorEastAsia" w:eastAsiaTheme="minorEastAsia" w:hAnsiTheme="minorEastAsia" w:hint="eastAsia"/>
          <w:sz w:val="20"/>
          <w:szCs w:val="20"/>
        </w:rPr>
        <w:t>を図2に示す。ここでは堆肥化の実績の多い資源を抜粋した。バイオマスを全量堆肥化した場合の供給量と流域内耕地に散布できる堆肥量を窒素換算で図3に示す。この図からこの種のバイオマスだけでも受け入れ可能量を越えていることがわかる。これ以外のバイオマスも利用しようとすると多くの堆肥が余剰すると考えられる。やはりバイオマス利用は農地への還元が少なくなる方法も組み合わせて</w:t>
      </w:r>
      <w:r w:rsidR="00065B90">
        <w:rPr>
          <w:rFonts w:asciiTheme="minorEastAsia" w:eastAsiaTheme="minorEastAsia" w:hAnsiTheme="minorEastAsia" w:hint="eastAsia"/>
          <w:sz w:val="20"/>
          <w:szCs w:val="20"/>
        </w:rPr>
        <w:t>導入することが望ましい。引き続きこの堆肥の受け入れ可能量から導入可能なバイオマス処理量を決めて、環境影響の推定を予定している。</w:t>
      </w:r>
    </w:p>
    <w:p w:rsidR="00874C6B" w:rsidRDefault="00874C6B" w:rsidP="00F56B88">
      <w:pPr>
        <w:pStyle w:val="Web"/>
        <w:spacing w:before="0" w:beforeAutospacing="0" w:after="0"/>
        <w:rPr>
          <w:rFonts w:asciiTheme="minorEastAsia" w:eastAsiaTheme="minorEastAsia" w:hAnsiTheme="minorEastAsia"/>
          <w:sz w:val="20"/>
          <w:szCs w:val="20"/>
        </w:rPr>
      </w:pPr>
    </w:p>
    <w:p w:rsidR="00874C6B" w:rsidRDefault="00874C6B" w:rsidP="00F56B88">
      <w:pPr>
        <w:pStyle w:val="Web"/>
        <w:spacing w:before="0" w:beforeAutospacing="0" w:after="0"/>
        <w:rPr>
          <w:rFonts w:asciiTheme="minorEastAsia" w:eastAsiaTheme="minorEastAsia" w:hAnsiTheme="minorEastAsia"/>
          <w:sz w:val="20"/>
          <w:szCs w:val="20"/>
        </w:rPr>
      </w:pPr>
      <w:r w:rsidRPr="00843AF0">
        <w:rPr>
          <w:rFonts w:asciiTheme="minorEastAsia" w:eastAsiaTheme="minorEastAsia" w:hAnsiTheme="minorEastAsia"/>
          <w:noProof/>
          <w:sz w:val="20"/>
          <w:szCs w:val="20"/>
        </w:rPr>
        <w:drawing>
          <wp:inline distT="0" distB="0" distL="0" distR="0">
            <wp:extent cx="2428875" cy="2381250"/>
            <wp:effectExtent l="0" t="0" r="0" b="0"/>
            <wp:docPr id="5"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74C6B" w:rsidRPr="00874C6B" w:rsidRDefault="00F56B88" w:rsidP="00874C6B">
      <w:pPr>
        <w:pStyle w:val="Web"/>
        <w:spacing w:before="0" w:beforeAutospacing="0" w:after="0"/>
        <w:ind w:firstLineChars="100" w:firstLine="200"/>
        <w:rPr>
          <w:rFonts w:asciiTheme="minorEastAsia" w:eastAsiaTheme="minorEastAsia" w:hAnsiTheme="minorEastAsia"/>
          <w:sz w:val="20"/>
          <w:szCs w:val="20"/>
          <w:lang w:eastAsia="zh-TW"/>
        </w:rPr>
      </w:pPr>
      <w:r w:rsidRPr="00F56B88">
        <w:rPr>
          <w:rFonts w:asciiTheme="minorEastAsia" w:eastAsiaTheme="minorEastAsia" w:hAnsiTheme="minorEastAsia"/>
          <w:sz w:val="20"/>
          <w:szCs w:val="20"/>
          <w:lang w:eastAsia="zh-TW"/>
        </w:rPr>
        <w:t xml:space="preserve">　</w:t>
      </w:r>
      <w:r w:rsidR="00874C6B">
        <w:rPr>
          <w:rFonts w:asciiTheme="minorEastAsia" w:eastAsiaTheme="minorEastAsia" w:hAnsiTheme="minorEastAsia" w:hint="eastAsia"/>
          <w:sz w:val="20"/>
          <w:szCs w:val="20"/>
          <w:lang w:eastAsia="zh-TW"/>
        </w:rPr>
        <w:t>図1　処理別窒素排出割合</w:t>
      </w:r>
    </w:p>
    <w:p w:rsidR="00F56B88" w:rsidRPr="00F56B88" w:rsidRDefault="00F56B88" w:rsidP="00F56B88">
      <w:pPr>
        <w:pStyle w:val="Web"/>
        <w:spacing w:before="0" w:beforeAutospacing="0" w:after="0"/>
        <w:rPr>
          <w:rFonts w:asciiTheme="minorEastAsia" w:eastAsiaTheme="minorEastAsia" w:hAnsiTheme="minorEastAsia"/>
          <w:sz w:val="20"/>
          <w:szCs w:val="20"/>
        </w:rPr>
      </w:pPr>
    </w:p>
    <w:p w:rsidR="00F56B88" w:rsidRPr="00F56B88" w:rsidRDefault="00B35AF3" w:rsidP="00F56B88">
      <w:pPr>
        <w:pStyle w:val="Web"/>
        <w:spacing w:before="0" w:beforeAutospacing="0" w:after="0"/>
        <w:rPr>
          <w:rFonts w:asciiTheme="minorEastAsia" w:eastAsiaTheme="minorEastAsia" w:hAnsiTheme="minorEastAsia"/>
          <w:sz w:val="20"/>
          <w:szCs w:val="20"/>
        </w:rPr>
      </w:pPr>
      <w:r w:rsidRPr="00B35AF3">
        <w:rPr>
          <w:rFonts w:asciiTheme="minorEastAsia" w:eastAsiaTheme="minorEastAsia" w:hAnsiTheme="minorEastAsia"/>
          <w:noProof/>
          <w:sz w:val="20"/>
          <w:szCs w:val="20"/>
        </w:rPr>
        <w:lastRenderedPageBreak/>
        <w:drawing>
          <wp:inline distT="0" distB="0" distL="0" distR="0">
            <wp:extent cx="3031490" cy="2280649"/>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6B88" w:rsidRPr="00F56B88" w:rsidRDefault="00B35AF3" w:rsidP="00F56B88">
      <w:pPr>
        <w:pStyle w:val="Web"/>
        <w:spacing w:before="0" w:beforeAutospacing="0" w:after="0"/>
        <w:rPr>
          <w:rFonts w:asciiTheme="minorEastAsia" w:eastAsiaTheme="minorEastAsia" w:hAnsiTheme="minorEastAsia"/>
          <w:sz w:val="20"/>
          <w:szCs w:val="20"/>
        </w:rPr>
      </w:pPr>
      <w:r>
        <w:rPr>
          <w:rFonts w:asciiTheme="minorEastAsia" w:eastAsiaTheme="minorEastAsia" w:hAnsiTheme="minorEastAsia" w:hint="eastAsia"/>
          <w:sz w:val="20"/>
          <w:szCs w:val="20"/>
        </w:rPr>
        <w:t>図２　バイオマス</w:t>
      </w:r>
      <w:r w:rsidRPr="00F56B88">
        <w:rPr>
          <w:rFonts w:asciiTheme="minorEastAsia" w:eastAsiaTheme="minorEastAsia" w:hAnsiTheme="minorEastAsia"/>
          <w:sz w:val="20"/>
          <w:szCs w:val="20"/>
        </w:rPr>
        <w:t>賦存量</w:t>
      </w:r>
      <w:r>
        <w:rPr>
          <w:rFonts w:asciiTheme="minorEastAsia" w:eastAsiaTheme="minorEastAsia" w:hAnsiTheme="minorEastAsia" w:hint="eastAsia"/>
          <w:sz w:val="20"/>
          <w:szCs w:val="20"/>
        </w:rPr>
        <w:t>（乾燥重量トン）</w:t>
      </w:r>
    </w:p>
    <w:p w:rsidR="00736856" w:rsidRDefault="00736856" w:rsidP="00F56B88">
      <w:pPr>
        <w:pStyle w:val="Web"/>
        <w:spacing w:before="0" w:beforeAutospacing="0" w:after="0"/>
        <w:rPr>
          <w:rFonts w:asciiTheme="minorEastAsia" w:eastAsiaTheme="minorEastAsia" w:hAnsiTheme="minorEastAsia"/>
          <w:sz w:val="20"/>
          <w:szCs w:val="20"/>
        </w:rPr>
      </w:pPr>
      <w:r w:rsidRPr="00736856">
        <w:rPr>
          <w:rFonts w:asciiTheme="minorEastAsia" w:eastAsiaTheme="minorEastAsia" w:hAnsiTheme="minorEastAsia"/>
          <w:noProof/>
          <w:sz w:val="20"/>
          <w:szCs w:val="20"/>
        </w:rPr>
        <w:drawing>
          <wp:inline distT="0" distB="0" distL="0" distR="0">
            <wp:extent cx="3031490" cy="2216507"/>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6856" w:rsidRPr="00F56B88" w:rsidRDefault="00736856" w:rsidP="00F56B88">
      <w:pPr>
        <w:pStyle w:val="Web"/>
        <w:spacing w:before="0" w:beforeAutospacing="0" w:after="0"/>
        <w:rPr>
          <w:rFonts w:asciiTheme="minorEastAsia" w:eastAsiaTheme="minorEastAsia" w:hAnsiTheme="minorEastAsia"/>
          <w:sz w:val="20"/>
          <w:szCs w:val="20"/>
        </w:rPr>
      </w:pPr>
      <w:r>
        <w:rPr>
          <w:rFonts w:asciiTheme="minorEastAsia" w:eastAsiaTheme="minorEastAsia" w:hAnsiTheme="minorEastAsia" w:hint="eastAsia"/>
          <w:sz w:val="20"/>
          <w:szCs w:val="20"/>
        </w:rPr>
        <w:t>図３　窒素換算堆肥の供給可能量、受け入れ可能量</w:t>
      </w:r>
    </w:p>
    <w:p w:rsidR="00F56B88" w:rsidRPr="00F56B88" w:rsidRDefault="00F56B88" w:rsidP="00F56B88">
      <w:pPr>
        <w:pStyle w:val="Web"/>
        <w:spacing w:before="0" w:beforeAutospacing="0" w:after="0"/>
        <w:rPr>
          <w:rFonts w:asciiTheme="minorEastAsia" w:eastAsiaTheme="minorEastAsia" w:hAnsiTheme="minorEastAsia"/>
          <w:sz w:val="20"/>
          <w:szCs w:val="20"/>
        </w:rPr>
      </w:pPr>
    </w:p>
    <w:p w:rsidR="00F56B88" w:rsidRPr="00F56B88" w:rsidRDefault="00F56B88" w:rsidP="00736856">
      <w:pPr>
        <w:pStyle w:val="Web"/>
        <w:spacing w:before="0" w:beforeAutospacing="0" w:after="0"/>
        <w:ind w:firstLineChars="1300" w:firstLine="2340"/>
        <w:rPr>
          <w:rFonts w:asciiTheme="minorEastAsia" w:eastAsiaTheme="minorEastAsia" w:hAnsiTheme="minorEastAsia"/>
          <w:sz w:val="18"/>
          <w:szCs w:val="20"/>
        </w:rPr>
      </w:pPr>
      <w:r w:rsidRPr="00F56B88">
        <w:rPr>
          <w:rFonts w:asciiTheme="minorEastAsia" w:eastAsiaTheme="minorEastAsia" w:hAnsiTheme="minorEastAsia" w:hint="eastAsia"/>
          <w:sz w:val="18"/>
          <w:szCs w:val="20"/>
        </w:rPr>
        <w:t>引用</w:t>
      </w:r>
    </w:p>
    <w:p w:rsidR="00F56B88" w:rsidRPr="004E2CD4" w:rsidRDefault="00F56B88" w:rsidP="004E2CD4">
      <w:pPr>
        <w:pStyle w:val="Web"/>
        <w:numPr>
          <w:ilvl w:val="0"/>
          <w:numId w:val="1"/>
        </w:numPr>
        <w:spacing w:before="0" w:beforeAutospacing="0" w:after="0"/>
        <w:rPr>
          <w:rFonts w:asciiTheme="minorEastAsia" w:eastAsiaTheme="minorEastAsia" w:hAnsiTheme="minorEastAsia"/>
          <w:sz w:val="18"/>
          <w:szCs w:val="18"/>
        </w:rPr>
      </w:pPr>
      <w:r w:rsidRPr="004E2CD4">
        <w:rPr>
          <w:rFonts w:asciiTheme="minorEastAsia" w:eastAsiaTheme="minorEastAsia" w:hAnsiTheme="minorEastAsia"/>
          <w:sz w:val="18"/>
          <w:szCs w:val="18"/>
        </w:rPr>
        <w:t>農林水産省（</w:t>
      </w:r>
      <w:r w:rsidRPr="004E2CD4">
        <w:rPr>
          <w:rFonts w:asciiTheme="minorEastAsia" w:eastAsiaTheme="minorEastAsia" w:hAnsiTheme="minorEastAsia" w:cs="Times New Roman"/>
          <w:sz w:val="18"/>
          <w:szCs w:val="18"/>
        </w:rPr>
        <w:t>2006</w:t>
      </w:r>
      <w:r w:rsidRPr="004E2CD4">
        <w:rPr>
          <w:rFonts w:asciiTheme="minorEastAsia" w:eastAsiaTheme="minorEastAsia" w:hAnsiTheme="minorEastAsia"/>
          <w:sz w:val="18"/>
          <w:szCs w:val="18"/>
        </w:rPr>
        <w:t>）：バイオマス・ニッポン総合戦略、</w:t>
      </w:r>
      <w:r w:rsidRPr="004E2CD4">
        <w:rPr>
          <w:rFonts w:asciiTheme="minorEastAsia" w:eastAsiaTheme="minorEastAsia" w:hAnsiTheme="minorEastAsia" w:cs="Times New Roman"/>
          <w:sz w:val="18"/>
          <w:szCs w:val="18"/>
        </w:rPr>
        <w:t>http://www.maff.go.jp/j/biomass/</w:t>
      </w:r>
    </w:p>
    <w:p w:rsidR="00F56B88" w:rsidRPr="004E2CD4" w:rsidRDefault="00F56B88" w:rsidP="00F56B88">
      <w:pPr>
        <w:pStyle w:val="Web"/>
        <w:numPr>
          <w:ilvl w:val="0"/>
          <w:numId w:val="1"/>
        </w:numPr>
        <w:spacing w:before="0" w:beforeAutospacing="0" w:after="0"/>
        <w:rPr>
          <w:rFonts w:asciiTheme="minorEastAsia" w:eastAsiaTheme="minorEastAsia" w:hAnsiTheme="minorEastAsia"/>
          <w:sz w:val="18"/>
          <w:szCs w:val="18"/>
        </w:rPr>
      </w:pPr>
      <w:r w:rsidRPr="004E2CD4">
        <w:rPr>
          <w:rFonts w:asciiTheme="minorEastAsia" w:eastAsiaTheme="minorEastAsia" w:hAnsiTheme="minorEastAsia"/>
          <w:sz w:val="18"/>
          <w:szCs w:val="18"/>
        </w:rPr>
        <w:t>バイオマス・ニッポン総合戦略推進事業：バイオマス情報ヘッドクォーター、</w:t>
      </w:r>
      <w:r w:rsidRPr="004E2CD4">
        <w:rPr>
          <w:rFonts w:asciiTheme="minorEastAsia" w:eastAsiaTheme="minorEastAsia" w:hAnsiTheme="minorEastAsia" w:cs="Times New Roman"/>
          <w:sz w:val="18"/>
          <w:szCs w:val="18"/>
        </w:rPr>
        <w:t>http://biomasstown.biomass-hq.jp/</w:t>
      </w:r>
    </w:p>
    <w:p w:rsidR="00F56B88" w:rsidRPr="004E2CD4" w:rsidRDefault="00F56B88" w:rsidP="00F56B88">
      <w:pPr>
        <w:pStyle w:val="Web"/>
        <w:numPr>
          <w:ilvl w:val="0"/>
          <w:numId w:val="1"/>
        </w:numPr>
        <w:spacing w:before="0" w:beforeAutospacing="0" w:after="0"/>
        <w:rPr>
          <w:rFonts w:asciiTheme="minorEastAsia" w:eastAsiaTheme="minorEastAsia" w:hAnsiTheme="minorEastAsia"/>
          <w:sz w:val="18"/>
          <w:szCs w:val="18"/>
        </w:rPr>
      </w:pPr>
      <w:r w:rsidRPr="004E2CD4">
        <w:rPr>
          <w:rFonts w:asciiTheme="minorEastAsia" w:eastAsiaTheme="minorEastAsia" w:hAnsiTheme="minorEastAsia"/>
          <w:sz w:val="18"/>
          <w:szCs w:val="18"/>
        </w:rPr>
        <w:t>千葉県（</w:t>
      </w:r>
      <w:r w:rsidRPr="004E2CD4">
        <w:rPr>
          <w:rFonts w:asciiTheme="minorEastAsia" w:eastAsiaTheme="minorEastAsia" w:hAnsiTheme="minorEastAsia" w:cs="Times New Roman"/>
          <w:sz w:val="18"/>
          <w:szCs w:val="18"/>
        </w:rPr>
        <w:t>2005</w:t>
      </w:r>
      <w:r w:rsidRPr="004E2CD4">
        <w:rPr>
          <w:rFonts w:asciiTheme="minorEastAsia" w:eastAsiaTheme="minorEastAsia" w:hAnsiTheme="minorEastAsia"/>
          <w:sz w:val="18"/>
          <w:szCs w:val="18"/>
        </w:rPr>
        <w:t>）：バイオマス総合利活用マスタープラン、</w:t>
      </w:r>
      <w:r w:rsidRPr="004E2CD4">
        <w:rPr>
          <w:rFonts w:asciiTheme="minorEastAsia" w:eastAsiaTheme="minorEastAsia" w:hAnsiTheme="minorEastAsia" w:cs="Times New Roman"/>
          <w:sz w:val="18"/>
          <w:szCs w:val="18"/>
        </w:rPr>
        <w:t>http://www.pref.chiba.lg.jp/shigen/keikaku/kankyouseikatsu/biomass-plan.html</w:t>
      </w:r>
    </w:p>
    <w:p w:rsidR="00F56B88" w:rsidRPr="004E2CD4" w:rsidRDefault="00F56B88" w:rsidP="00F56B88">
      <w:pPr>
        <w:pStyle w:val="Web"/>
        <w:numPr>
          <w:ilvl w:val="0"/>
          <w:numId w:val="1"/>
        </w:numPr>
        <w:spacing w:before="0" w:beforeAutospacing="0" w:after="0"/>
        <w:rPr>
          <w:rFonts w:asciiTheme="minorEastAsia" w:eastAsiaTheme="minorEastAsia" w:hAnsiTheme="minorEastAsia"/>
          <w:sz w:val="18"/>
          <w:szCs w:val="18"/>
        </w:rPr>
      </w:pPr>
      <w:r w:rsidRPr="004E2CD4">
        <w:rPr>
          <w:rFonts w:asciiTheme="minorEastAsia" w:eastAsiaTheme="minorEastAsia" w:hAnsiTheme="minorEastAsia"/>
          <w:sz w:val="18"/>
          <w:szCs w:val="18"/>
        </w:rPr>
        <w:t>松波　邦治（</w:t>
      </w:r>
      <w:r w:rsidRPr="004E2CD4">
        <w:rPr>
          <w:rFonts w:asciiTheme="minorEastAsia" w:eastAsiaTheme="minorEastAsia" w:hAnsiTheme="minorEastAsia" w:cs="Times New Roman"/>
          <w:sz w:val="18"/>
          <w:szCs w:val="18"/>
        </w:rPr>
        <w:t>2007</w:t>
      </w:r>
      <w:r w:rsidRPr="004E2CD4">
        <w:rPr>
          <w:rFonts w:asciiTheme="minorEastAsia" w:eastAsiaTheme="minorEastAsia" w:hAnsiTheme="minorEastAsia"/>
          <w:sz w:val="18"/>
          <w:szCs w:val="18"/>
        </w:rPr>
        <w:t>循環型社会を見据えた窒素循環のあり方に関する研究、筑波大学大</w:t>
      </w:r>
      <w:r w:rsidRPr="004E2CD4">
        <w:rPr>
          <w:rFonts w:asciiTheme="minorEastAsia" w:eastAsiaTheme="minorEastAsia" w:hAnsiTheme="minorEastAsia"/>
          <w:sz w:val="18"/>
          <w:szCs w:val="18"/>
        </w:rPr>
        <w:lastRenderedPageBreak/>
        <w:t>学院環境科学研究科平成</w:t>
      </w:r>
      <w:r w:rsidRPr="004E2CD4">
        <w:rPr>
          <w:rFonts w:asciiTheme="minorEastAsia" w:eastAsiaTheme="minorEastAsia" w:hAnsiTheme="minorEastAsia" w:cs="Times New Roman"/>
          <w:sz w:val="18"/>
          <w:szCs w:val="18"/>
        </w:rPr>
        <w:t>19</w:t>
      </w:r>
      <w:r w:rsidRPr="004E2CD4">
        <w:rPr>
          <w:rFonts w:asciiTheme="minorEastAsia" w:eastAsiaTheme="minorEastAsia" w:hAnsiTheme="minorEastAsia"/>
          <w:sz w:val="18"/>
          <w:szCs w:val="18"/>
        </w:rPr>
        <w:t>年度修士学位論文</w:t>
      </w:r>
    </w:p>
    <w:p w:rsidR="00F56B88" w:rsidRPr="004E2CD4" w:rsidRDefault="00F56B88" w:rsidP="00F56B88">
      <w:pPr>
        <w:pStyle w:val="Web"/>
        <w:numPr>
          <w:ilvl w:val="0"/>
          <w:numId w:val="1"/>
        </w:numPr>
        <w:spacing w:before="0" w:beforeAutospacing="0" w:after="0"/>
        <w:rPr>
          <w:rFonts w:asciiTheme="minorEastAsia" w:eastAsiaTheme="minorEastAsia" w:hAnsiTheme="minorEastAsia"/>
          <w:sz w:val="18"/>
          <w:szCs w:val="18"/>
        </w:rPr>
      </w:pPr>
      <w:r w:rsidRPr="004E2CD4">
        <w:rPr>
          <w:rFonts w:asciiTheme="minorEastAsia" w:eastAsiaTheme="minorEastAsia" w:hAnsiTheme="minorEastAsia"/>
          <w:sz w:val="18"/>
          <w:szCs w:val="18"/>
        </w:rPr>
        <w:t>藪　宏典ら（</w:t>
      </w:r>
      <w:r w:rsidRPr="004E2CD4">
        <w:rPr>
          <w:rFonts w:asciiTheme="minorEastAsia" w:eastAsiaTheme="minorEastAsia" w:hAnsiTheme="minorEastAsia" w:cs="Times New Roman"/>
          <w:sz w:val="18"/>
          <w:szCs w:val="18"/>
        </w:rPr>
        <w:t>2009</w:t>
      </w:r>
      <w:r w:rsidRPr="004E2CD4">
        <w:rPr>
          <w:rFonts w:asciiTheme="minorEastAsia" w:eastAsiaTheme="minorEastAsia" w:hAnsiTheme="minorEastAsia"/>
          <w:sz w:val="18"/>
          <w:szCs w:val="18"/>
        </w:rPr>
        <w:t>）：乾式メタン発酵による有機性廃棄物からのメタン回収、生物工学会誌</w:t>
      </w:r>
      <w:r w:rsidRPr="004E2CD4">
        <w:rPr>
          <w:rFonts w:asciiTheme="minorEastAsia" w:eastAsiaTheme="minorEastAsia" w:hAnsiTheme="minorEastAsia" w:cs="Times New Roman"/>
          <w:sz w:val="18"/>
          <w:szCs w:val="18"/>
        </w:rPr>
        <w:t>87</w:t>
      </w:r>
      <w:r w:rsidRPr="004E2CD4">
        <w:rPr>
          <w:rFonts w:asciiTheme="minorEastAsia" w:eastAsiaTheme="minorEastAsia" w:hAnsiTheme="minorEastAsia"/>
          <w:sz w:val="18"/>
          <w:szCs w:val="18"/>
        </w:rPr>
        <w:t>（</w:t>
      </w:r>
      <w:r w:rsidRPr="004E2CD4">
        <w:rPr>
          <w:rFonts w:asciiTheme="minorEastAsia" w:eastAsiaTheme="minorEastAsia" w:hAnsiTheme="minorEastAsia" w:cs="Times New Roman"/>
          <w:sz w:val="18"/>
          <w:szCs w:val="18"/>
        </w:rPr>
        <w:t>10</w:t>
      </w:r>
      <w:r w:rsidRPr="004E2CD4">
        <w:rPr>
          <w:rFonts w:asciiTheme="minorEastAsia" w:eastAsiaTheme="minorEastAsia" w:hAnsiTheme="minorEastAsia"/>
          <w:sz w:val="18"/>
          <w:szCs w:val="18"/>
        </w:rPr>
        <w:t>）、</w:t>
      </w:r>
      <w:r w:rsidRPr="004E2CD4">
        <w:rPr>
          <w:rFonts w:asciiTheme="minorEastAsia" w:eastAsiaTheme="minorEastAsia" w:hAnsiTheme="minorEastAsia" w:cs="Times New Roman"/>
          <w:sz w:val="18"/>
          <w:szCs w:val="18"/>
        </w:rPr>
        <w:t>pp481-483</w:t>
      </w:r>
    </w:p>
    <w:p w:rsidR="00F56B88" w:rsidRPr="004E2CD4" w:rsidRDefault="00F56B88" w:rsidP="00F56B88">
      <w:pPr>
        <w:pStyle w:val="Web"/>
        <w:numPr>
          <w:ilvl w:val="0"/>
          <w:numId w:val="1"/>
        </w:numPr>
        <w:spacing w:before="0" w:beforeAutospacing="0" w:after="0"/>
        <w:rPr>
          <w:rFonts w:asciiTheme="minorEastAsia" w:eastAsiaTheme="minorEastAsia" w:hAnsiTheme="minorEastAsia"/>
          <w:sz w:val="18"/>
          <w:szCs w:val="18"/>
        </w:rPr>
      </w:pPr>
      <w:r w:rsidRPr="004E2CD4">
        <w:rPr>
          <w:rFonts w:asciiTheme="minorEastAsia" w:eastAsiaTheme="minorEastAsia" w:hAnsiTheme="minorEastAsia"/>
          <w:sz w:val="18"/>
          <w:szCs w:val="18"/>
        </w:rPr>
        <w:t>西尾　尚道ら（</w:t>
      </w:r>
      <w:r w:rsidRPr="004E2CD4">
        <w:rPr>
          <w:rFonts w:asciiTheme="minorEastAsia" w:eastAsiaTheme="minorEastAsia" w:hAnsiTheme="minorEastAsia" w:cs="Times New Roman"/>
          <w:sz w:val="18"/>
          <w:szCs w:val="18"/>
        </w:rPr>
        <w:t>2009</w:t>
      </w:r>
      <w:r w:rsidRPr="004E2CD4">
        <w:rPr>
          <w:rFonts w:asciiTheme="minorEastAsia" w:eastAsiaTheme="minorEastAsia" w:hAnsiTheme="minorEastAsia"/>
          <w:sz w:val="18"/>
          <w:szCs w:val="18"/>
        </w:rPr>
        <w:t>）：脱水余剰汚泥の乾式メタン発酵による減量化及びエネルギー回収、再生と利用</w:t>
      </w:r>
      <w:r w:rsidRPr="004E2CD4">
        <w:rPr>
          <w:rFonts w:asciiTheme="minorEastAsia" w:eastAsiaTheme="minorEastAsia" w:hAnsiTheme="minorEastAsia" w:cs="Times New Roman"/>
          <w:sz w:val="18"/>
          <w:szCs w:val="18"/>
        </w:rPr>
        <w:t>32</w:t>
      </w:r>
      <w:r w:rsidRPr="004E2CD4">
        <w:rPr>
          <w:rFonts w:asciiTheme="minorEastAsia" w:eastAsiaTheme="minorEastAsia" w:hAnsiTheme="minorEastAsia"/>
          <w:sz w:val="18"/>
          <w:szCs w:val="18"/>
        </w:rPr>
        <w:t>巻、</w:t>
      </w:r>
      <w:r w:rsidRPr="004E2CD4">
        <w:rPr>
          <w:rFonts w:asciiTheme="minorEastAsia" w:eastAsiaTheme="minorEastAsia" w:hAnsiTheme="minorEastAsia" w:cs="Times New Roman"/>
          <w:sz w:val="18"/>
          <w:szCs w:val="18"/>
        </w:rPr>
        <w:t>pp47-51</w:t>
      </w:r>
    </w:p>
    <w:p w:rsidR="00F56B88" w:rsidRPr="004E2CD4" w:rsidRDefault="00F56B88" w:rsidP="00F56B88">
      <w:pPr>
        <w:pStyle w:val="Web"/>
        <w:numPr>
          <w:ilvl w:val="0"/>
          <w:numId w:val="1"/>
        </w:numPr>
        <w:spacing w:before="0" w:beforeAutospacing="0" w:after="0"/>
        <w:rPr>
          <w:rFonts w:asciiTheme="minorEastAsia" w:eastAsiaTheme="minorEastAsia" w:hAnsiTheme="minorEastAsia"/>
          <w:sz w:val="18"/>
          <w:szCs w:val="18"/>
        </w:rPr>
      </w:pPr>
      <w:r w:rsidRPr="004E2CD4">
        <w:rPr>
          <w:rFonts w:asciiTheme="minorEastAsia" w:eastAsiaTheme="minorEastAsia" w:hAnsiTheme="minorEastAsia"/>
          <w:sz w:val="18"/>
          <w:szCs w:val="18"/>
        </w:rPr>
        <w:t>植野　甲史郎（</w:t>
      </w:r>
      <w:r w:rsidRPr="004E2CD4">
        <w:rPr>
          <w:rFonts w:asciiTheme="minorEastAsia" w:eastAsiaTheme="minorEastAsia" w:hAnsiTheme="minorEastAsia" w:cs="Times New Roman"/>
          <w:sz w:val="18"/>
          <w:szCs w:val="18"/>
        </w:rPr>
        <w:t>2009</w:t>
      </w:r>
      <w:r w:rsidRPr="004E2CD4">
        <w:rPr>
          <w:rFonts w:asciiTheme="minorEastAsia" w:eastAsiaTheme="minorEastAsia" w:hAnsiTheme="minorEastAsia"/>
          <w:sz w:val="18"/>
          <w:szCs w:val="18"/>
        </w:rPr>
        <w:t>）：我国における窒素循環動態と水環境汚染・地球温暖化の関係、筑波大学大学院環境科学研究科平成</w:t>
      </w:r>
      <w:r w:rsidRPr="004E2CD4">
        <w:rPr>
          <w:rFonts w:asciiTheme="minorEastAsia" w:eastAsiaTheme="minorEastAsia" w:hAnsiTheme="minorEastAsia" w:cs="Times New Roman"/>
          <w:sz w:val="18"/>
          <w:szCs w:val="18"/>
        </w:rPr>
        <w:t>21</w:t>
      </w:r>
      <w:r w:rsidRPr="004E2CD4">
        <w:rPr>
          <w:rFonts w:asciiTheme="minorEastAsia" w:eastAsiaTheme="minorEastAsia" w:hAnsiTheme="minorEastAsia"/>
          <w:sz w:val="18"/>
          <w:szCs w:val="18"/>
        </w:rPr>
        <w:t>年度修士学位論文</w:t>
      </w:r>
    </w:p>
    <w:p w:rsidR="00F56B88" w:rsidRPr="00F56B88" w:rsidRDefault="00F56B88" w:rsidP="00F56B88">
      <w:pPr>
        <w:pStyle w:val="Web"/>
        <w:spacing w:before="0" w:beforeAutospacing="0" w:after="240"/>
        <w:rPr>
          <w:rFonts w:asciiTheme="minorEastAsia" w:eastAsiaTheme="minorEastAsia" w:hAnsiTheme="minorEastAsia"/>
          <w:sz w:val="20"/>
          <w:szCs w:val="20"/>
        </w:rPr>
      </w:pPr>
    </w:p>
    <w:p w:rsidR="00F56B88" w:rsidRDefault="00F56B88" w:rsidP="00F56B88">
      <w:pPr>
        <w:pStyle w:val="Web"/>
        <w:spacing w:before="0" w:beforeAutospacing="0" w:after="0"/>
      </w:pPr>
      <w:r>
        <w:t xml:space="preserve">　</w:t>
      </w:r>
    </w:p>
    <w:p w:rsidR="0089604F" w:rsidRPr="00F56B88" w:rsidRDefault="0089604F" w:rsidP="00F56B88"/>
    <w:sectPr w:rsidR="0089604F" w:rsidRPr="00F56B88" w:rsidSect="00874C6B">
      <w:type w:val="continuous"/>
      <w:pgSz w:w="11906" w:h="16838"/>
      <w:pgMar w:top="1418" w:right="1134" w:bottom="1701" w:left="1701" w:header="851" w:footer="992" w:gutter="0"/>
      <w:cols w:num="2" w:space="316"/>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7CA" w:rsidRDefault="00A177CA" w:rsidP="008143A8">
      <w:r>
        <w:separator/>
      </w:r>
    </w:p>
  </w:endnote>
  <w:endnote w:type="continuationSeparator" w:id="0">
    <w:p w:rsidR="00A177CA" w:rsidRDefault="00A177CA" w:rsidP="008143A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7CA" w:rsidRDefault="00A177CA" w:rsidP="008143A8">
      <w:r>
        <w:separator/>
      </w:r>
    </w:p>
  </w:footnote>
  <w:footnote w:type="continuationSeparator" w:id="0">
    <w:p w:rsidR="00A177CA" w:rsidRDefault="00A177CA" w:rsidP="00814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23B5D"/>
    <w:multiLevelType w:val="multilevel"/>
    <w:tmpl w:val="0986C05A"/>
    <w:lvl w:ilvl="0">
      <w:start w:val="1"/>
      <w:numFmt w:val="decimalFullWidth"/>
      <w:lvlText w:val="%1）"/>
      <w:lvlJc w:val="left"/>
      <w:pPr>
        <w:tabs>
          <w:tab w:val="num" w:pos="720"/>
        </w:tabs>
        <w:ind w:left="720" w:hanging="360"/>
      </w:pPr>
      <w:rPr>
        <w:rFonts w:asciiTheme="minorEastAsia" w:eastAsiaTheme="minorEastAsia" w:hAnsiTheme="minorEastAsia" w:cs="ＭＳ Ｐゴシック"/>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D3230C"/>
    <w:multiLevelType w:val="hybridMultilevel"/>
    <w:tmpl w:val="5C26A544"/>
    <w:lvl w:ilvl="0" w:tplc="E266050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B88"/>
    <w:rsid w:val="00065B90"/>
    <w:rsid w:val="004E2CD4"/>
    <w:rsid w:val="006C41A1"/>
    <w:rsid w:val="00736856"/>
    <w:rsid w:val="008143A8"/>
    <w:rsid w:val="00843AF0"/>
    <w:rsid w:val="008451F2"/>
    <w:rsid w:val="00874C6B"/>
    <w:rsid w:val="0089604F"/>
    <w:rsid w:val="00A177CA"/>
    <w:rsid w:val="00B30B8D"/>
    <w:rsid w:val="00B35AF3"/>
    <w:rsid w:val="00BB4523"/>
    <w:rsid w:val="00E27AE1"/>
    <w:rsid w:val="00F56B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56B88"/>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43A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AF0"/>
    <w:rPr>
      <w:rFonts w:asciiTheme="majorHAnsi" w:eastAsiaTheme="majorEastAsia" w:hAnsiTheme="majorHAnsi" w:cstheme="majorBidi"/>
      <w:sz w:val="18"/>
      <w:szCs w:val="18"/>
    </w:rPr>
  </w:style>
  <w:style w:type="paragraph" w:styleId="a5">
    <w:name w:val="header"/>
    <w:basedOn w:val="a"/>
    <w:link w:val="a6"/>
    <w:uiPriority w:val="99"/>
    <w:semiHidden/>
    <w:unhideWhenUsed/>
    <w:rsid w:val="008143A8"/>
    <w:pPr>
      <w:tabs>
        <w:tab w:val="center" w:pos="4252"/>
        <w:tab w:val="right" w:pos="8504"/>
      </w:tabs>
      <w:snapToGrid w:val="0"/>
    </w:pPr>
  </w:style>
  <w:style w:type="character" w:customStyle="1" w:styleId="a6">
    <w:name w:val="ヘッダー (文字)"/>
    <w:basedOn w:val="a0"/>
    <w:link w:val="a5"/>
    <w:uiPriority w:val="99"/>
    <w:semiHidden/>
    <w:rsid w:val="008143A8"/>
  </w:style>
  <w:style w:type="paragraph" w:styleId="a7">
    <w:name w:val="footer"/>
    <w:basedOn w:val="a"/>
    <w:link w:val="a8"/>
    <w:uiPriority w:val="99"/>
    <w:semiHidden/>
    <w:unhideWhenUsed/>
    <w:rsid w:val="008143A8"/>
    <w:pPr>
      <w:tabs>
        <w:tab w:val="center" w:pos="4252"/>
        <w:tab w:val="right" w:pos="8504"/>
      </w:tabs>
      <w:snapToGrid w:val="0"/>
    </w:pPr>
  </w:style>
  <w:style w:type="character" w:customStyle="1" w:styleId="a8">
    <w:name w:val="フッター (文字)"/>
    <w:basedOn w:val="a0"/>
    <w:link w:val="a7"/>
    <w:uiPriority w:val="99"/>
    <w:semiHidden/>
    <w:rsid w:val="008143A8"/>
  </w:style>
</w:styles>
</file>

<file path=word/webSettings.xml><?xml version="1.0" encoding="utf-8"?>
<w:webSettings xmlns:r="http://schemas.openxmlformats.org/officeDocument/2006/relationships" xmlns:w="http://schemas.openxmlformats.org/wordprocessingml/2006/main">
  <w:divs>
    <w:div w:id="444272689">
      <w:bodyDiv w:val="1"/>
      <w:marLeft w:val="0"/>
      <w:marRight w:val="0"/>
      <w:marTop w:val="0"/>
      <w:marBottom w:val="0"/>
      <w:divBdr>
        <w:top w:val="none" w:sz="0" w:space="0" w:color="auto"/>
        <w:left w:val="none" w:sz="0" w:space="0" w:color="auto"/>
        <w:bottom w:val="none" w:sz="0" w:space="0" w:color="auto"/>
        <w:right w:val="none" w:sz="0" w:space="0" w:color="auto"/>
      </w:divBdr>
    </w:div>
    <w:div w:id="1988195682">
      <w:bodyDiv w:val="1"/>
      <w:marLeft w:val="0"/>
      <w:marRight w:val="0"/>
      <w:marTop w:val="0"/>
      <w:marBottom w:val="0"/>
      <w:divBdr>
        <w:top w:val="none" w:sz="0" w:space="0" w:color="auto"/>
        <w:left w:val="none" w:sz="0" w:space="0" w:color="auto"/>
        <w:bottom w:val="none" w:sz="0" w:space="0" w:color="auto"/>
        <w:right w:val="none" w:sz="0" w:space="0" w:color="auto"/>
      </w:divBdr>
    </w:div>
    <w:div w:id="20100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F:\Book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ook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0832257732489321"/>
          <c:y val="3.0866561679790034E-2"/>
          <c:w val="0.88132780082987572"/>
          <c:h val="0.83235540653814133"/>
        </c:manualLayout>
      </c:layout>
      <c:barChart>
        <c:barDir val="col"/>
        <c:grouping val="clustered"/>
        <c:ser>
          <c:idx val="0"/>
          <c:order val="0"/>
          <c:spPr>
            <a:solidFill>
              <a:srgbClr val="004586"/>
            </a:solidFill>
            <a:ln w="3175">
              <a:solidFill>
                <a:srgbClr val="000000"/>
              </a:solidFill>
              <a:prstDash val="solid"/>
            </a:ln>
          </c:spPr>
          <c:cat>
            <c:strRef>
              <c:f>Sheet3!$K$51:$M$51</c:f>
              <c:strCache>
                <c:ptCount val="3"/>
                <c:pt idx="0">
                  <c:v>湿式メタン発酵</c:v>
                </c:pt>
                <c:pt idx="1">
                  <c:v>アンモニア発酵・乾式メタン発酵</c:v>
                </c:pt>
                <c:pt idx="2">
                  <c:v>セメント等建築材</c:v>
                </c:pt>
              </c:strCache>
            </c:strRef>
          </c:cat>
          <c:val>
            <c:numRef>
              <c:f>Sheet3!$K$52:$M$52</c:f>
              <c:numCache>
                <c:formatCode>General</c:formatCode>
                <c:ptCount val="3"/>
                <c:pt idx="0">
                  <c:v>0.60000000000000064</c:v>
                </c:pt>
                <c:pt idx="1">
                  <c:v>0.43000000000000038</c:v>
                </c:pt>
                <c:pt idx="2">
                  <c:v>0</c:v>
                </c:pt>
              </c:numCache>
            </c:numRef>
          </c:val>
        </c:ser>
        <c:gapWidth val="100"/>
        <c:axId val="254309120"/>
        <c:axId val="254342656"/>
      </c:barChart>
      <c:catAx>
        <c:axId val="254309120"/>
        <c:scaling>
          <c:orientation val="minMax"/>
        </c:scaling>
        <c:axPos val="b"/>
        <c:numFmt formatCode="General" sourceLinked="1"/>
        <c:tickLblPos val="low"/>
        <c:spPr>
          <a:ln w="3175">
            <a:solidFill>
              <a:srgbClr val="B3B3B3"/>
            </a:solidFill>
            <a:prstDash val="solid"/>
          </a:ln>
        </c:spPr>
        <c:txPr>
          <a:bodyPr rot="0" vert="horz"/>
          <a:lstStyle/>
          <a:p>
            <a:pPr>
              <a:defRPr sz="1000" b="0" i="0" u="none" strike="noStrike" baseline="30000">
                <a:solidFill>
                  <a:srgbClr val="000000"/>
                </a:solidFill>
                <a:latin typeface="ＭＳ Ｐゴシック"/>
                <a:ea typeface="ＭＳ Ｐゴシック"/>
                <a:cs typeface="ＭＳ Ｐゴシック"/>
              </a:defRPr>
            </a:pPr>
            <a:endParaRPr lang="ja-JP"/>
          </a:p>
        </c:txPr>
        <c:crossAx val="254342656"/>
        <c:crosses val="autoZero"/>
        <c:auto val="1"/>
        <c:lblAlgn val="ctr"/>
        <c:lblOffset val="100"/>
        <c:tickLblSkip val="1"/>
        <c:tickMarkSkip val="1"/>
      </c:catAx>
      <c:valAx>
        <c:axId val="254342656"/>
        <c:scaling>
          <c:orientation val="minMax"/>
        </c:scaling>
        <c:axPos val="l"/>
        <c:majorGridlines>
          <c:spPr>
            <a:ln w="3175">
              <a:solidFill>
                <a:srgbClr val="B3B3B3"/>
              </a:solidFill>
              <a:prstDash val="solid"/>
            </a:ln>
          </c:spPr>
        </c:majorGridlines>
        <c:numFmt formatCode="General" sourceLinked="1"/>
        <c:tickLblPos val="low"/>
        <c:spPr>
          <a:ln w="3175">
            <a:solidFill>
              <a:srgbClr val="B3B3B3"/>
            </a:solidFill>
            <a:prstDash val="solid"/>
          </a:ln>
        </c:spPr>
        <c:txPr>
          <a:bodyPr rot="0" vert="horz"/>
          <a:lstStyle/>
          <a:p>
            <a:pPr>
              <a:defRPr sz="800" b="0" i="0" u="none" strike="noStrike" baseline="30000">
                <a:solidFill>
                  <a:srgbClr val="000000"/>
                </a:solidFill>
                <a:latin typeface="ＭＳ Ｐゴシック"/>
                <a:ea typeface="ＭＳ Ｐゴシック"/>
                <a:cs typeface="ＭＳ Ｐゴシック"/>
              </a:defRPr>
            </a:pPr>
            <a:endParaRPr lang="ja-JP"/>
          </a:p>
        </c:txPr>
        <c:crossAx val="254309120"/>
        <c:crosses val="autoZero"/>
        <c:crossBetween val="between"/>
      </c:valAx>
      <c:spPr>
        <a:noFill/>
        <a:ln w="3175">
          <a:solidFill>
            <a:srgbClr val="B3B3B3"/>
          </a:solidFill>
          <a:prstDash val="solid"/>
        </a:ln>
      </c:spPr>
    </c:plotArea>
    <c:dispBlanksAs val="gap"/>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9.1069071711394653E-2"/>
          <c:y val="3.7631710988459702E-2"/>
          <c:w val="0.73154490226874325"/>
          <c:h val="0.89864525840441689"/>
        </c:manualLayout>
      </c:layout>
      <c:barChart>
        <c:barDir val="col"/>
        <c:grouping val="stacked"/>
        <c:ser>
          <c:idx val="0"/>
          <c:order val="0"/>
          <c:tx>
            <c:strRef>
              <c:f>Sheet3!$J$31</c:f>
              <c:strCache>
                <c:ptCount val="1"/>
                <c:pt idx="0">
                  <c:v>資源量</c:v>
                </c:pt>
              </c:strCache>
            </c:strRef>
          </c:tx>
          <c:spPr>
            <a:solidFill>
              <a:srgbClr val="004586"/>
            </a:solidFill>
            <a:ln w="3175">
              <a:solidFill>
                <a:srgbClr val="000000"/>
              </a:solidFill>
              <a:prstDash val="solid"/>
            </a:ln>
          </c:spPr>
          <c:cat>
            <c:strRef>
              <c:f>Sheet3!$K$30:$O$30</c:f>
              <c:strCache>
                <c:ptCount val="5"/>
                <c:pt idx="0">
                  <c:v>家畜排泄物</c:v>
                </c:pt>
                <c:pt idx="1">
                  <c:v>生ゴミ</c:v>
                </c:pt>
                <c:pt idx="2">
                  <c:v>食品加工残さ</c:v>
                </c:pt>
                <c:pt idx="3">
                  <c:v>下水汚泥</c:v>
                </c:pt>
                <c:pt idx="4">
                  <c:v>農業集落排水</c:v>
                </c:pt>
              </c:strCache>
            </c:strRef>
          </c:cat>
          <c:val>
            <c:numRef>
              <c:f>Sheet3!$K$31:$O$31</c:f>
              <c:numCache>
                <c:formatCode>General</c:formatCode>
                <c:ptCount val="5"/>
                <c:pt idx="0">
                  <c:v>22035.172872340416</c:v>
                </c:pt>
                <c:pt idx="1">
                  <c:v>5222.7272727272721</c:v>
                </c:pt>
                <c:pt idx="2">
                  <c:v>9459.45945945946</c:v>
                </c:pt>
                <c:pt idx="3">
                  <c:v>5802.4038461538457</c:v>
                </c:pt>
                <c:pt idx="4">
                  <c:v>8.6538461538461586</c:v>
                </c:pt>
              </c:numCache>
            </c:numRef>
          </c:val>
        </c:ser>
        <c:ser>
          <c:idx val="1"/>
          <c:order val="1"/>
          <c:tx>
            <c:strRef>
              <c:f>Sheet3!$J$32</c:f>
              <c:strCache>
                <c:ptCount val="1"/>
                <c:pt idx="0">
                  <c:v>未利用</c:v>
                </c:pt>
              </c:strCache>
            </c:strRef>
          </c:tx>
          <c:spPr>
            <a:solidFill>
              <a:srgbClr val="FF420E"/>
            </a:solidFill>
            <a:ln w="3175">
              <a:solidFill>
                <a:srgbClr val="000000"/>
              </a:solidFill>
              <a:prstDash val="solid"/>
            </a:ln>
          </c:spPr>
          <c:cat>
            <c:strRef>
              <c:f>Sheet3!$K$30:$O$30</c:f>
              <c:strCache>
                <c:ptCount val="5"/>
                <c:pt idx="0">
                  <c:v>家畜排泄物</c:v>
                </c:pt>
                <c:pt idx="1">
                  <c:v>生ゴミ</c:v>
                </c:pt>
                <c:pt idx="2">
                  <c:v>食品加工残さ</c:v>
                </c:pt>
                <c:pt idx="3">
                  <c:v>下水汚泥</c:v>
                </c:pt>
                <c:pt idx="4">
                  <c:v>農業集落排水</c:v>
                </c:pt>
              </c:strCache>
            </c:strRef>
          </c:cat>
          <c:val>
            <c:numRef>
              <c:f>Sheet3!$K$32:$O$32</c:f>
              <c:numCache>
                <c:formatCode>General</c:formatCode>
                <c:ptCount val="5"/>
                <c:pt idx="0">
                  <c:v>2477.327127659576</c:v>
                </c:pt>
                <c:pt idx="1">
                  <c:v>4352.272727272727</c:v>
                </c:pt>
                <c:pt idx="2">
                  <c:v>12415.540540540545</c:v>
                </c:pt>
                <c:pt idx="3">
                  <c:v>10960.096153846151</c:v>
                </c:pt>
                <c:pt idx="4">
                  <c:v>16.346153846153836</c:v>
                </c:pt>
              </c:numCache>
            </c:numRef>
          </c:val>
        </c:ser>
        <c:gapWidth val="100"/>
        <c:overlap val="100"/>
        <c:axId val="278746240"/>
        <c:axId val="278755584"/>
      </c:barChart>
      <c:catAx>
        <c:axId val="278746240"/>
        <c:scaling>
          <c:orientation val="minMax"/>
        </c:scaling>
        <c:axPos val="b"/>
        <c:numFmt formatCode="General" sourceLinked="1"/>
        <c:tickLblPos val="low"/>
        <c:spPr>
          <a:ln w="3175">
            <a:solidFill>
              <a:srgbClr val="B3B3B3"/>
            </a:solidFill>
            <a:prstDash val="solid"/>
          </a:ln>
        </c:spPr>
        <c:txPr>
          <a:bodyPr rot="0" vert="horz"/>
          <a:lstStyle/>
          <a:p>
            <a:pPr>
              <a:defRPr sz="1000" b="0" i="0" u="none" strike="noStrike" baseline="30000">
                <a:solidFill>
                  <a:srgbClr val="000000"/>
                </a:solidFill>
                <a:latin typeface="ＭＳ Ｐゴシック"/>
                <a:ea typeface="ＭＳ Ｐゴシック"/>
                <a:cs typeface="ＭＳ Ｐゴシック"/>
              </a:defRPr>
            </a:pPr>
            <a:endParaRPr lang="ja-JP"/>
          </a:p>
        </c:txPr>
        <c:crossAx val="278755584"/>
        <c:crosses val="autoZero"/>
        <c:auto val="1"/>
        <c:lblAlgn val="ctr"/>
        <c:lblOffset val="100"/>
        <c:tickLblSkip val="1"/>
        <c:tickMarkSkip val="1"/>
      </c:catAx>
      <c:valAx>
        <c:axId val="278755584"/>
        <c:scaling>
          <c:orientation val="minMax"/>
        </c:scaling>
        <c:axPos val="l"/>
        <c:majorGridlines>
          <c:spPr>
            <a:ln w="3175">
              <a:solidFill>
                <a:srgbClr val="B3B3B3"/>
              </a:solidFill>
              <a:prstDash val="solid"/>
            </a:ln>
          </c:spPr>
        </c:majorGridlines>
        <c:numFmt formatCode="General" sourceLinked="1"/>
        <c:tickLblPos val="low"/>
        <c:spPr>
          <a:ln w="3175">
            <a:solidFill>
              <a:srgbClr val="B3B3B3"/>
            </a:solidFill>
            <a:prstDash val="solid"/>
          </a:ln>
        </c:spPr>
        <c:txPr>
          <a:bodyPr rot="0" vert="horz"/>
          <a:lstStyle/>
          <a:p>
            <a:pPr>
              <a:defRPr sz="800" b="0" i="0" u="none" strike="noStrike" baseline="30000">
                <a:solidFill>
                  <a:srgbClr val="000000"/>
                </a:solidFill>
                <a:latin typeface="ＭＳ Ｐゴシック"/>
                <a:ea typeface="ＭＳ Ｐゴシック"/>
                <a:cs typeface="ＭＳ Ｐゴシック"/>
              </a:defRPr>
            </a:pPr>
            <a:endParaRPr lang="ja-JP"/>
          </a:p>
        </c:txPr>
        <c:crossAx val="278746240"/>
        <c:crosses val="autoZero"/>
        <c:crossBetween val="between"/>
      </c:valAx>
      <c:spPr>
        <a:noFill/>
        <a:ln w="3175">
          <a:solidFill>
            <a:srgbClr val="B3B3B3"/>
          </a:solidFill>
          <a:prstDash val="solid"/>
        </a:ln>
      </c:spPr>
    </c:plotArea>
    <c:legend>
      <c:legendPos val="r"/>
      <c:layout>
        <c:manualLayout>
          <c:xMode val="edge"/>
          <c:yMode val="edge"/>
          <c:x val="0.87104561728980867"/>
          <c:y val="0.34216663765445743"/>
          <c:w val="0.12015544241708755"/>
          <c:h val="0.39537912234631473"/>
        </c:manualLayout>
      </c:layout>
      <c:spPr>
        <a:noFill/>
        <a:ln w="25400">
          <a:noFill/>
        </a:ln>
      </c:spPr>
      <c:txPr>
        <a:bodyPr/>
        <a:lstStyle/>
        <a:p>
          <a:pPr>
            <a:defRPr sz="1000" b="0" i="0" u="none" strike="noStrike" baseline="30000">
              <a:solidFill>
                <a:srgbClr val="000000"/>
              </a:solidFill>
              <a:latin typeface="ＭＳ Ｐゴシック"/>
              <a:ea typeface="ＭＳ Ｐゴシック"/>
              <a:cs typeface="ＭＳ Ｐゴシック"/>
            </a:defRPr>
          </a:pPr>
          <a:endParaRPr lang="ja-JP"/>
        </a:p>
      </c:txPr>
    </c:legend>
    <c:dispBlanksAs val="gap"/>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9.5917363502213651E-2"/>
          <c:y val="4.4404973357016098E-2"/>
          <c:w val="0.4997840995681993"/>
          <c:h val="0.88099467140319843"/>
        </c:manualLayout>
      </c:layout>
      <c:barChart>
        <c:barDir val="col"/>
        <c:grouping val="stacked"/>
        <c:ser>
          <c:idx val="0"/>
          <c:order val="0"/>
          <c:tx>
            <c:strRef>
              <c:f>Sheet3!$K$35</c:f>
              <c:strCache>
                <c:ptCount val="1"/>
                <c:pt idx="0">
                  <c:v>家畜排泄物</c:v>
                </c:pt>
              </c:strCache>
            </c:strRef>
          </c:tx>
          <c:spPr>
            <a:solidFill>
              <a:srgbClr val="004586"/>
            </a:solidFill>
            <a:ln w="3175">
              <a:solidFill>
                <a:srgbClr val="000000"/>
              </a:solidFill>
              <a:prstDash val="solid"/>
            </a:ln>
          </c:spPr>
          <c:cat>
            <c:strRef>
              <c:f>Sheet3!$J$36:$J$38</c:f>
              <c:strCache>
                <c:ptCount val="3"/>
                <c:pt idx="0">
                  <c:v>供給可能量</c:v>
                </c:pt>
                <c:pt idx="2">
                  <c:v>受け入れ可能量</c:v>
                </c:pt>
              </c:strCache>
            </c:strRef>
          </c:cat>
          <c:val>
            <c:numRef>
              <c:f>Sheet3!$K$36:$K$38</c:f>
              <c:numCache>
                <c:formatCode>General</c:formatCode>
                <c:ptCount val="3"/>
                <c:pt idx="0">
                  <c:v>367.6875</c:v>
                </c:pt>
                <c:pt idx="1">
                  <c:v>0</c:v>
                </c:pt>
                <c:pt idx="2">
                  <c:v>43.317299999999996</c:v>
                </c:pt>
              </c:numCache>
            </c:numRef>
          </c:val>
        </c:ser>
        <c:ser>
          <c:idx val="1"/>
          <c:order val="1"/>
          <c:tx>
            <c:strRef>
              <c:f>Sheet3!$L$35</c:f>
              <c:strCache>
                <c:ptCount val="1"/>
                <c:pt idx="0">
                  <c:v>生ゴミ</c:v>
                </c:pt>
              </c:strCache>
            </c:strRef>
          </c:tx>
          <c:spPr>
            <a:solidFill>
              <a:srgbClr val="FF420E"/>
            </a:solidFill>
            <a:ln w="3175">
              <a:solidFill>
                <a:srgbClr val="000000"/>
              </a:solidFill>
              <a:prstDash val="solid"/>
            </a:ln>
          </c:spPr>
          <c:cat>
            <c:strRef>
              <c:f>Sheet3!$J$36:$J$38</c:f>
              <c:strCache>
                <c:ptCount val="3"/>
                <c:pt idx="0">
                  <c:v>供給可能量</c:v>
                </c:pt>
                <c:pt idx="2">
                  <c:v>受け入れ可能量</c:v>
                </c:pt>
              </c:strCache>
            </c:strRef>
          </c:cat>
          <c:val>
            <c:numRef>
              <c:f>Sheet3!$L$36:$L$38</c:f>
              <c:numCache>
                <c:formatCode>General</c:formatCode>
                <c:ptCount val="3"/>
                <c:pt idx="0">
                  <c:v>63.195000000000022</c:v>
                </c:pt>
                <c:pt idx="1">
                  <c:v>0</c:v>
                </c:pt>
                <c:pt idx="2">
                  <c:v>5.6541428571428556</c:v>
                </c:pt>
              </c:numCache>
            </c:numRef>
          </c:val>
        </c:ser>
        <c:ser>
          <c:idx val="2"/>
          <c:order val="2"/>
          <c:tx>
            <c:strRef>
              <c:f>Sheet3!$M$35</c:f>
              <c:strCache>
                <c:ptCount val="1"/>
                <c:pt idx="0">
                  <c:v>食品加工残さ</c:v>
                </c:pt>
              </c:strCache>
            </c:strRef>
          </c:tx>
          <c:spPr>
            <a:solidFill>
              <a:srgbClr val="FFD320"/>
            </a:solidFill>
            <a:ln w="3175">
              <a:solidFill>
                <a:srgbClr val="000000"/>
              </a:solidFill>
              <a:prstDash val="solid"/>
            </a:ln>
          </c:spPr>
          <c:cat>
            <c:strRef>
              <c:f>Sheet3!$J$36:$J$38</c:f>
              <c:strCache>
                <c:ptCount val="3"/>
                <c:pt idx="0">
                  <c:v>供給可能量</c:v>
                </c:pt>
                <c:pt idx="2">
                  <c:v>受け入れ可能量</c:v>
                </c:pt>
              </c:strCache>
            </c:strRef>
          </c:cat>
          <c:val>
            <c:numRef>
              <c:f>Sheet3!$M$36:$M$38</c:f>
              <c:numCache>
                <c:formatCode>General</c:formatCode>
                <c:ptCount val="3"/>
                <c:pt idx="0">
                  <c:v>144.375</c:v>
                </c:pt>
                <c:pt idx="1">
                  <c:v>0</c:v>
                </c:pt>
                <c:pt idx="2">
                  <c:v>0.18450000000000008</c:v>
                </c:pt>
              </c:numCache>
            </c:numRef>
          </c:val>
        </c:ser>
        <c:ser>
          <c:idx val="3"/>
          <c:order val="3"/>
          <c:tx>
            <c:strRef>
              <c:f>Sheet3!$N$35</c:f>
              <c:strCache>
                <c:ptCount val="1"/>
                <c:pt idx="0">
                  <c:v>下水汚泥</c:v>
                </c:pt>
              </c:strCache>
            </c:strRef>
          </c:tx>
          <c:spPr>
            <a:solidFill>
              <a:srgbClr val="579D1C"/>
            </a:solidFill>
            <a:ln w="3175">
              <a:solidFill>
                <a:srgbClr val="000000"/>
              </a:solidFill>
              <a:prstDash val="solid"/>
            </a:ln>
          </c:spPr>
          <c:cat>
            <c:strRef>
              <c:f>Sheet3!$J$36:$J$38</c:f>
              <c:strCache>
                <c:ptCount val="3"/>
                <c:pt idx="0">
                  <c:v>供給可能量</c:v>
                </c:pt>
                <c:pt idx="2">
                  <c:v>受け入れ可能量</c:v>
                </c:pt>
              </c:strCache>
            </c:strRef>
          </c:cat>
          <c:val>
            <c:numRef>
              <c:f>Sheet3!$N$36:$N$38</c:f>
              <c:numCache>
                <c:formatCode>General</c:formatCode>
                <c:ptCount val="3"/>
                <c:pt idx="0">
                  <c:v>419.0625</c:v>
                </c:pt>
                <c:pt idx="1">
                  <c:v>0</c:v>
                </c:pt>
                <c:pt idx="2">
                  <c:v>29.32</c:v>
                </c:pt>
              </c:numCache>
            </c:numRef>
          </c:val>
        </c:ser>
        <c:ser>
          <c:idx val="4"/>
          <c:order val="4"/>
          <c:tx>
            <c:strRef>
              <c:f>Sheet3!$O$35</c:f>
              <c:strCache>
                <c:ptCount val="1"/>
                <c:pt idx="0">
                  <c:v>農業集落排水</c:v>
                </c:pt>
              </c:strCache>
            </c:strRef>
          </c:tx>
          <c:spPr>
            <a:solidFill>
              <a:srgbClr val="7E0021"/>
            </a:solidFill>
            <a:ln w="3175">
              <a:solidFill>
                <a:srgbClr val="000000"/>
              </a:solidFill>
              <a:prstDash val="solid"/>
            </a:ln>
          </c:spPr>
          <c:cat>
            <c:strRef>
              <c:f>Sheet3!$J$36:$J$38</c:f>
              <c:strCache>
                <c:ptCount val="3"/>
                <c:pt idx="0">
                  <c:v>供給可能量</c:v>
                </c:pt>
                <c:pt idx="2">
                  <c:v>受け入れ可能量</c:v>
                </c:pt>
              </c:strCache>
            </c:strRef>
          </c:cat>
          <c:val>
            <c:numRef>
              <c:f>Sheet3!$O$36:$O$38</c:f>
              <c:numCache>
                <c:formatCode>General</c:formatCode>
                <c:ptCount val="3"/>
                <c:pt idx="0">
                  <c:v>0.62500000000000033</c:v>
                </c:pt>
                <c:pt idx="1">
                  <c:v>0</c:v>
                </c:pt>
                <c:pt idx="2">
                  <c:v>11.079000000000002</c:v>
                </c:pt>
              </c:numCache>
            </c:numRef>
          </c:val>
        </c:ser>
        <c:ser>
          <c:idx val="5"/>
          <c:order val="5"/>
          <c:tx>
            <c:strRef>
              <c:f>Sheet3!$P$35</c:f>
              <c:strCache>
                <c:ptCount val="1"/>
                <c:pt idx="0">
                  <c:v>工芸農作物</c:v>
                </c:pt>
              </c:strCache>
            </c:strRef>
          </c:tx>
          <c:spPr>
            <a:solidFill>
              <a:srgbClr val="83CAFF"/>
            </a:solidFill>
            <a:ln w="3175">
              <a:solidFill>
                <a:srgbClr val="000000"/>
              </a:solidFill>
              <a:prstDash val="solid"/>
            </a:ln>
          </c:spPr>
          <c:cat>
            <c:strRef>
              <c:f>Sheet3!$J$36:$J$38</c:f>
              <c:strCache>
                <c:ptCount val="3"/>
                <c:pt idx="0">
                  <c:v>供給可能量</c:v>
                </c:pt>
                <c:pt idx="2">
                  <c:v>受け入れ可能量</c:v>
                </c:pt>
              </c:strCache>
            </c:strRef>
          </c:cat>
          <c:val>
            <c:numRef>
              <c:f>Sheet3!$P$36:$P$38</c:f>
              <c:numCache>
                <c:formatCode>General</c:formatCode>
                <c:ptCount val="3"/>
                <c:pt idx="1">
                  <c:v>0</c:v>
                </c:pt>
                <c:pt idx="2">
                  <c:v>0.11700000000000002</c:v>
                </c:pt>
              </c:numCache>
            </c:numRef>
          </c:val>
        </c:ser>
        <c:ser>
          <c:idx val="6"/>
          <c:order val="6"/>
          <c:tx>
            <c:strRef>
              <c:f>Sheet3!$Q$35</c:f>
              <c:strCache>
                <c:ptCount val="1"/>
                <c:pt idx="0">
                  <c:v>野菜</c:v>
                </c:pt>
              </c:strCache>
            </c:strRef>
          </c:tx>
          <c:spPr>
            <a:solidFill>
              <a:srgbClr val="314004"/>
            </a:solidFill>
            <a:ln w="3175">
              <a:solidFill>
                <a:srgbClr val="000000"/>
              </a:solidFill>
              <a:prstDash val="solid"/>
            </a:ln>
          </c:spPr>
          <c:cat>
            <c:strRef>
              <c:f>Sheet3!$J$36:$J$38</c:f>
              <c:strCache>
                <c:ptCount val="3"/>
                <c:pt idx="0">
                  <c:v>供給可能量</c:v>
                </c:pt>
                <c:pt idx="2">
                  <c:v>受け入れ可能量</c:v>
                </c:pt>
              </c:strCache>
            </c:strRef>
          </c:cat>
          <c:val>
            <c:numRef>
              <c:f>Sheet3!$Q$36:$Q$38</c:f>
              <c:numCache>
                <c:formatCode>General</c:formatCode>
                <c:ptCount val="3"/>
                <c:pt idx="1">
                  <c:v>0</c:v>
                </c:pt>
                <c:pt idx="2">
                  <c:v>311.00553913043495</c:v>
                </c:pt>
              </c:numCache>
            </c:numRef>
          </c:val>
        </c:ser>
        <c:ser>
          <c:idx val="7"/>
          <c:order val="7"/>
          <c:tx>
            <c:strRef>
              <c:f>Sheet3!$R$35</c:f>
              <c:strCache>
                <c:ptCount val="1"/>
                <c:pt idx="0">
                  <c:v>花き類</c:v>
                </c:pt>
              </c:strCache>
            </c:strRef>
          </c:tx>
          <c:spPr>
            <a:solidFill>
              <a:srgbClr val="AECF00"/>
            </a:solidFill>
            <a:ln w="3175">
              <a:solidFill>
                <a:srgbClr val="000000"/>
              </a:solidFill>
              <a:prstDash val="solid"/>
            </a:ln>
          </c:spPr>
          <c:cat>
            <c:strRef>
              <c:f>Sheet3!$J$36:$J$38</c:f>
              <c:strCache>
                <c:ptCount val="3"/>
                <c:pt idx="0">
                  <c:v>供給可能量</c:v>
                </c:pt>
                <c:pt idx="2">
                  <c:v>受け入れ可能量</c:v>
                </c:pt>
              </c:strCache>
            </c:strRef>
          </c:cat>
          <c:val>
            <c:numRef>
              <c:f>Sheet3!$R$36:$R$38</c:f>
              <c:numCache>
                <c:formatCode>General</c:formatCode>
                <c:ptCount val="3"/>
                <c:pt idx="1">
                  <c:v>0</c:v>
                </c:pt>
                <c:pt idx="2">
                  <c:v>8.8634482758620781</c:v>
                </c:pt>
              </c:numCache>
            </c:numRef>
          </c:val>
        </c:ser>
        <c:gapWidth val="100"/>
        <c:overlap val="100"/>
        <c:axId val="254400384"/>
        <c:axId val="254401920"/>
      </c:barChart>
      <c:catAx>
        <c:axId val="254400384"/>
        <c:scaling>
          <c:orientation val="minMax"/>
        </c:scaling>
        <c:axPos val="b"/>
        <c:numFmt formatCode="General" sourceLinked="1"/>
        <c:tickLblPos val="low"/>
        <c:spPr>
          <a:ln w="3175">
            <a:solidFill>
              <a:srgbClr val="B3B3B3"/>
            </a:solidFill>
            <a:prstDash val="solid"/>
          </a:ln>
        </c:spPr>
        <c:txPr>
          <a:bodyPr rot="0" vert="horz"/>
          <a:lstStyle/>
          <a:p>
            <a:pPr>
              <a:defRPr sz="1000" b="0" i="0" u="none" strike="noStrike" baseline="30000">
                <a:solidFill>
                  <a:srgbClr val="000000"/>
                </a:solidFill>
                <a:latin typeface="ＭＳ Ｐゴシック"/>
                <a:ea typeface="ＭＳ Ｐゴシック"/>
                <a:cs typeface="ＭＳ Ｐゴシック"/>
              </a:defRPr>
            </a:pPr>
            <a:endParaRPr lang="ja-JP"/>
          </a:p>
        </c:txPr>
        <c:crossAx val="254401920"/>
        <c:crosses val="autoZero"/>
        <c:auto val="1"/>
        <c:lblAlgn val="ctr"/>
        <c:lblOffset val="100"/>
        <c:tickLblSkip val="1"/>
        <c:tickMarkSkip val="1"/>
      </c:catAx>
      <c:valAx>
        <c:axId val="254401920"/>
        <c:scaling>
          <c:orientation val="minMax"/>
        </c:scaling>
        <c:axPos val="l"/>
        <c:majorGridlines>
          <c:spPr>
            <a:ln w="3175">
              <a:solidFill>
                <a:srgbClr val="B3B3B3"/>
              </a:solidFill>
              <a:prstDash val="solid"/>
            </a:ln>
          </c:spPr>
        </c:majorGridlines>
        <c:numFmt formatCode="General" sourceLinked="1"/>
        <c:tickLblPos val="low"/>
        <c:spPr>
          <a:ln w="3175">
            <a:solidFill>
              <a:srgbClr val="B3B3B3"/>
            </a:solidFill>
            <a:prstDash val="solid"/>
          </a:ln>
        </c:spPr>
        <c:txPr>
          <a:bodyPr rot="0" vert="horz"/>
          <a:lstStyle/>
          <a:p>
            <a:pPr>
              <a:defRPr sz="800" b="0" i="0" u="none" strike="noStrike" baseline="30000">
                <a:solidFill>
                  <a:srgbClr val="000000"/>
                </a:solidFill>
                <a:latin typeface="ＭＳ Ｐゴシック"/>
                <a:ea typeface="ＭＳ Ｐゴシック"/>
                <a:cs typeface="ＭＳ Ｐゴシック"/>
              </a:defRPr>
            </a:pPr>
            <a:endParaRPr lang="ja-JP"/>
          </a:p>
        </c:txPr>
        <c:crossAx val="254400384"/>
        <c:crosses val="autoZero"/>
        <c:crossBetween val="between"/>
      </c:valAx>
      <c:spPr>
        <a:noFill/>
        <a:ln w="3175">
          <a:solidFill>
            <a:srgbClr val="B3B3B3"/>
          </a:solidFill>
          <a:prstDash val="solid"/>
        </a:ln>
      </c:spPr>
    </c:plotArea>
    <c:legend>
      <c:legendPos val="r"/>
      <c:layout>
        <c:manualLayout>
          <c:xMode val="edge"/>
          <c:yMode val="edge"/>
          <c:x val="0.6495679169136116"/>
          <c:y val="0.12699892217800349"/>
          <c:w val="0.31685474799521063"/>
          <c:h val="0.74457648904334628"/>
        </c:manualLayout>
      </c:layout>
      <c:spPr>
        <a:noFill/>
        <a:ln w="25400">
          <a:noFill/>
        </a:ln>
      </c:spPr>
      <c:txPr>
        <a:bodyPr/>
        <a:lstStyle/>
        <a:p>
          <a:pPr>
            <a:defRPr sz="1000" b="0" i="0" u="none" strike="noStrike" baseline="30000">
              <a:solidFill>
                <a:srgbClr val="000000"/>
              </a:solidFill>
              <a:latin typeface="ＭＳ Ｐゴシック"/>
              <a:ea typeface="ＭＳ Ｐゴシック"/>
              <a:cs typeface="ＭＳ Ｐゴシック"/>
            </a:defRPr>
          </a:pPr>
          <a:endParaRPr lang="ja-JP"/>
        </a:p>
      </c:txPr>
    </c:legend>
    <c:dispBlanksAs val="gap"/>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t000800</dc:creator>
  <cp:lastModifiedBy> </cp:lastModifiedBy>
  <cp:revision>2</cp:revision>
  <dcterms:created xsi:type="dcterms:W3CDTF">2010-09-07T01:00:00Z</dcterms:created>
  <dcterms:modified xsi:type="dcterms:W3CDTF">2010-09-07T01:00:00Z</dcterms:modified>
</cp:coreProperties>
</file>